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DC" w:rsidRPr="007766DC" w:rsidRDefault="006A6499" w:rsidP="007766DC">
      <w:pPr>
        <w:tabs>
          <w:tab w:val="left" w:pos="2835"/>
        </w:tabs>
        <w:spacing w:after="120" w:line="276" w:lineRule="auto"/>
        <w:ind w:left="2835" w:hanging="2551"/>
        <w:jc w:val="both"/>
        <w:rPr>
          <w:rFonts w:ascii="Calibri" w:eastAsia="Calibri" w:hAnsi="Calibri"/>
          <w:sz w:val="2"/>
        </w:rPr>
      </w:pPr>
      <w:r>
        <w:rPr>
          <w:rFonts w:ascii="Calibri" w:eastAsia="Calibri" w:hAnsi="Calibri"/>
          <w:noProof/>
          <w:lang w:eastAsia="en-GB"/>
        </w:rPr>
        <w:drawing>
          <wp:anchor distT="0" distB="0" distL="114300" distR="114300" simplePos="0" relativeHeight="251659264" behindDoc="0" locked="0" layoutInCell="1" allowOverlap="1">
            <wp:simplePos x="0" y="0"/>
            <wp:positionH relativeFrom="column">
              <wp:posOffset>-487045</wp:posOffset>
            </wp:positionH>
            <wp:positionV relativeFrom="paragraph">
              <wp:posOffset>-346075</wp:posOffset>
            </wp:positionV>
            <wp:extent cx="962025" cy="1009650"/>
            <wp:effectExtent l="19050" t="0" r="9525" b="0"/>
            <wp:wrapNone/>
            <wp:docPr id="2" name="Picture 1" descr="C:\Users\James\AppData\Local\Microsoft\Windows\INetCache\Content.Word\Disability Shooting v2 14Aug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Disability Shooting v2 14Aug14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anchor>
        </w:drawing>
      </w:r>
      <w:r w:rsidR="007766DC" w:rsidRPr="007766DC">
        <w:rPr>
          <w:rFonts w:ascii="Calibri" w:eastAsia="Calibri" w:hAnsi="Calibri"/>
        </w:rPr>
        <w:tab/>
      </w:r>
    </w:p>
    <w:p w:rsidR="007766DC" w:rsidRPr="007766DC" w:rsidRDefault="007766DC" w:rsidP="007766DC">
      <w:pPr>
        <w:widowControl w:val="0"/>
        <w:tabs>
          <w:tab w:val="left" w:pos="709"/>
        </w:tabs>
        <w:spacing w:line="276" w:lineRule="auto"/>
        <w:rPr>
          <w:rFonts w:ascii="Calibri" w:eastAsia="Calibri" w:hAnsi="Calibri"/>
          <w:b/>
          <w:bCs/>
          <w:color w:val="061F9C"/>
          <w:sz w:val="28"/>
          <w:szCs w:val="16"/>
        </w:rPr>
      </w:pPr>
      <w:r w:rsidRPr="007766DC">
        <w:rPr>
          <w:rFonts w:ascii="Calibri" w:eastAsia="Calibri" w:hAnsi="Calibri"/>
          <w:b/>
          <w:sz w:val="22"/>
          <w:szCs w:val="22"/>
        </w:rPr>
        <w:t xml:space="preserve">                </w:t>
      </w:r>
      <w:r w:rsidRPr="007766DC">
        <w:rPr>
          <w:rFonts w:ascii="Calibri" w:eastAsia="Calibri" w:hAnsi="Calibri"/>
          <w:b/>
          <w:bCs/>
          <w:color w:val="061F9C"/>
          <w:sz w:val="32"/>
          <w:szCs w:val="16"/>
        </w:rPr>
        <w:t>Precision Target and shotgun shooting for the Physically</w:t>
      </w:r>
      <w:r w:rsidRPr="007766DC">
        <w:rPr>
          <w:rFonts w:ascii="Calibri" w:eastAsia="Calibri" w:hAnsi="Calibri"/>
          <w:b/>
          <w:bCs/>
          <w:color w:val="FF0000"/>
          <w:sz w:val="32"/>
          <w:szCs w:val="16"/>
        </w:rPr>
        <w:t xml:space="preserve"> </w:t>
      </w:r>
      <w:r w:rsidRPr="007766DC">
        <w:rPr>
          <w:rFonts w:ascii="Calibri" w:eastAsia="Calibri" w:hAnsi="Calibri"/>
          <w:b/>
          <w:bCs/>
          <w:color w:val="061F9C"/>
          <w:sz w:val="32"/>
          <w:szCs w:val="16"/>
        </w:rPr>
        <w:t>Disabled</w:t>
      </w:r>
    </w:p>
    <w:p w:rsidR="007766DC" w:rsidRPr="007766DC" w:rsidRDefault="007766DC" w:rsidP="007766DC">
      <w:pPr>
        <w:widowControl w:val="0"/>
        <w:spacing w:line="276" w:lineRule="auto"/>
        <w:rPr>
          <w:rFonts w:ascii="Calibri" w:eastAsia="Calibri" w:hAnsi="Calibri"/>
          <w:color w:val="061F9C"/>
          <w:sz w:val="22"/>
          <w:szCs w:val="10"/>
        </w:rPr>
      </w:pPr>
      <w:r w:rsidRPr="007766DC">
        <w:rPr>
          <w:rFonts w:ascii="Calibri" w:eastAsia="Calibri" w:hAnsi="Calibri"/>
          <w:b/>
          <w:bCs/>
          <w:color w:val="061F9C"/>
          <w:sz w:val="14"/>
          <w:szCs w:val="8"/>
        </w:rPr>
        <w:t xml:space="preserve">                                                               Disability Shooting Great Britain Ltd.,</w:t>
      </w:r>
      <w:r w:rsidRPr="007766DC">
        <w:rPr>
          <w:rFonts w:ascii="Calibri" w:eastAsia="Calibri" w:hAnsi="Calibri"/>
          <w:b/>
          <w:bCs/>
          <w:color w:val="061F9C"/>
          <w:sz w:val="16"/>
          <w:szCs w:val="8"/>
        </w:rPr>
        <w:t xml:space="preserve"> Head Office </w:t>
      </w:r>
      <w:r w:rsidRPr="007766DC">
        <w:rPr>
          <w:rFonts w:ascii="Calibri" w:eastAsia="Calibri" w:hAnsi="Calibri"/>
          <w:color w:val="061F9C"/>
          <w:sz w:val="16"/>
          <w:szCs w:val="8"/>
        </w:rPr>
        <w:t xml:space="preserve">Stoke Mandeville Stadium, Guttmann Road, Aylesbury. </w:t>
      </w:r>
      <w:proofErr w:type="gramStart"/>
      <w:r w:rsidRPr="007766DC">
        <w:rPr>
          <w:rFonts w:ascii="Calibri" w:eastAsia="Calibri" w:hAnsi="Calibri"/>
          <w:color w:val="061F9C"/>
          <w:sz w:val="16"/>
          <w:szCs w:val="8"/>
        </w:rPr>
        <w:t>HP21 9PP</w:t>
      </w:r>
      <w:r w:rsidRPr="007766DC">
        <w:rPr>
          <w:rFonts w:ascii="Calibri" w:eastAsia="Calibri" w:hAnsi="Calibri"/>
          <w:color w:val="061F9C"/>
          <w:sz w:val="22"/>
          <w:szCs w:val="8"/>
        </w:rPr>
        <w:t>.</w:t>
      </w:r>
      <w:proofErr w:type="gramEnd"/>
      <w:r w:rsidRPr="007766DC">
        <w:rPr>
          <w:rFonts w:ascii="Calibri" w:eastAsia="Calibri" w:hAnsi="Calibri"/>
          <w:color w:val="061F9C"/>
          <w:sz w:val="22"/>
          <w:szCs w:val="8"/>
        </w:rPr>
        <w:t xml:space="preserve">  </w:t>
      </w:r>
      <w:r w:rsidRPr="007766DC">
        <w:rPr>
          <w:rFonts w:ascii="Calibri" w:eastAsia="Calibri" w:hAnsi="Calibri"/>
          <w:color w:val="061F9C"/>
          <w:sz w:val="22"/>
          <w:szCs w:val="10"/>
        </w:rPr>
        <w:t xml:space="preserve"> </w:t>
      </w:r>
    </w:p>
    <w:p w:rsidR="007766DC" w:rsidRPr="007766DC" w:rsidRDefault="007766DC" w:rsidP="007766DC">
      <w:pPr>
        <w:widowControl w:val="0"/>
        <w:spacing w:line="276" w:lineRule="auto"/>
        <w:rPr>
          <w:rFonts w:ascii="Calibri" w:eastAsia="Calibri" w:hAnsi="Calibri"/>
          <w:color w:val="061F9C"/>
          <w:sz w:val="16"/>
          <w:szCs w:val="10"/>
        </w:rPr>
      </w:pPr>
      <w:r w:rsidRPr="007766DC">
        <w:rPr>
          <w:rFonts w:ascii="Calibri" w:eastAsia="Calibri" w:hAnsi="Calibri"/>
          <w:color w:val="061F9C"/>
          <w:sz w:val="22"/>
          <w:szCs w:val="10"/>
        </w:rPr>
        <w:t xml:space="preserve">                                                                                   </w:t>
      </w:r>
      <w:r w:rsidRPr="007766DC">
        <w:rPr>
          <w:rFonts w:ascii="Calibri" w:eastAsia="Calibri" w:hAnsi="Calibri"/>
          <w:color w:val="061F9C"/>
          <w:sz w:val="16"/>
          <w:szCs w:val="10"/>
        </w:rPr>
        <w:t xml:space="preserve">    Web Site: </w:t>
      </w:r>
      <w:hyperlink r:id="rId8" w:history="1">
        <w:r w:rsidR="00B66C74">
          <w:rPr>
            <w:rStyle w:val="Hyperlink"/>
            <w:rFonts w:ascii="Calibri" w:eastAsia="Calibri" w:hAnsi="Calibri"/>
            <w:sz w:val="20"/>
            <w:szCs w:val="20"/>
          </w:rPr>
          <w:t>www.disabilityshooting-gb.org</w:t>
        </w:r>
      </w:hyperlink>
      <w:r w:rsidR="00B66C74">
        <w:rPr>
          <w:rFonts w:ascii="Calibri" w:eastAsia="Calibri" w:hAnsi="Calibri"/>
          <w:color w:val="061F9C"/>
          <w:sz w:val="20"/>
          <w:szCs w:val="20"/>
        </w:rPr>
        <w:t xml:space="preserve"> </w:t>
      </w:r>
      <w:r w:rsidR="00B66C74">
        <w:rPr>
          <w:rFonts w:ascii="Calibri" w:hAnsi="Calibri" w:cs="Arial"/>
          <w:b/>
          <w:color w:val="0000FF"/>
          <w:sz w:val="20"/>
          <w:szCs w:val="20"/>
        </w:rPr>
        <w:t xml:space="preserve"> </w:t>
      </w:r>
    </w:p>
    <w:p w:rsidR="006737B9" w:rsidRDefault="006737B9" w:rsidP="007766DC">
      <w:pPr>
        <w:tabs>
          <w:tab w:val="left" w:pos="580"/>
        </w:tabs>
        <w:autoSpaceDE w:val="0"/>
        <w:autoSpaceDN w:val="0"/>
        <w:adjustRightInd w:val="0"/>
        <w:ind w:left="576" w:hanging="576"/>
        <w:jc w:val="center"/>
        <w:rPr>
          <w:rFonts w:ascii="Arial" w:hAnsi="Arial" w:cs="Arial"/>
          <w:b/>
          <w:color w:val="0000FF"/>
          <w:sz w:val="20"/>
          <w:lang w:eastAsia="en-GB"/>
        </w:rPr>
      </w:pPr>
    </w:p>
    <w:p w:rsidR="005D068E" w:rsidRDefault="005D068E" w:rsidP="007766DC">
      <w:pPr>
        <w:tabs>
          <w:tab w:val="left" w:pos="580"/>
        </w:tabs>
        <w:autoSpaceDE w:val="0"/>
        <w:autoSpaceDN w:val="0"/>
        <w:adjustRightInd w:val="0"/>
        <w:ind w:left="576" w:hanging="576"/>
        <w:jc w:val="center"/>
        <w:rPr>
          <w:rFonts w:ascii="Arial" w:hAnsi="Arial" w:cs="Arial"/>
          <w:b/>
          <w:color w:val="0000FF"/>
          <w:sz w:val="20"/>
          <w:lang w:eastAsia="en-GB"/>
        </w:rPr>
      </w:pPr>
    </w:p>
    <w:p w:rsidR="007766DC" w:rsidRPr="007766DC" w:rsidRDefault="007766DC" w:rsidP="005D068E">
      <w:pPr>
        <w:tabs>
          <w:tab w:val="left" w:pos="580"/>
        </w:tabs>
        <w:autoSpaceDE w:val="0"/>
        <w:autoSpaceDN w:val="0"/>
        <w:adjustRightInd w:val="0"/>
        <w:ind w:left="576" w:hanging="576"/>
        <w:rPr>
          <w:rFonts w:ascii="Arial" w:hAnsi="Arial" w:cs="Arial"/>
          <w:b/>
          <w:color w:val="0000FF"/>
          <w:lang w:eastAsia="en-GB"/>
        </w:rPr>
      </w:pPr>
      <w:r w:rsidRPr="007766DC">
        <w:rPr>
          <w:rFonts w:ascii="Arial" w:hAnsi="Arial" w:cs="Arial"/>
          <w:b/>
          <w:color w:val="0000FF"/>
          <w:sz w:val="20"/>
          <w:lang w:eastAsia="en-GB"/>
        </w:rPr>
        <w:t xml:space="preserve"> </w:t>
      </w:r>
      <w:r w:rsidRPr="007766DC">
        <w:rPr>
          <w:rFonts w:ascii="Arial" w:hAnsi="Arial" w:cs="Arial"/>
          <w:b/>
          <w:color w:val="0000FF"/>
          <w:lang w:eastAsia="en-GB"/>
        </w:rPr>
        <w:t xml:space="preserve">      </w:t>
      </w:r>
    </w:p>
    <w:p w:rsidR="007766DC" w:rsidRPr="00D036F8" w:rsidRDefault="007766DC" w:rsidP="007766DC">
      <w:pPr>
        <w:spacing w:after="200" w:line="276" w:lineRule="auto"/>
        <w:jc w:val="center"/>
        <w:rPr>
          <w:rFonts w:asciiTheme="minorHAnsi" w:eastAsiaTheme="minorHAnsi" w:hAnsiTheme="minorHAnsi" w:cstheme="minorBidi"/>
          <w:b/>
          <w:color w:val="0000FF"/>
          <w:sz w:val="48"/>
          <w:szCs w:val="22"/>
        </w:rPr>
      </w:pPr>
      <w:r w:rsidRPr="00D036F8">
        <w:rPr>
          <w:rFonts w:asciiTheme="minorHAnsi" w:eastAsiaTheme="minorHAnsi" w:hAnsiTheme="minorHAnsi" w:cstheme="minorBidi"/>
          <w:b/>
          <w:color w:val="0000FF"/>
          <w:sz w:val="48"/>
          <w:szCs w:val="22"/>
        </w:rPr>
        <w:t>Gender Reassignment Policy</w:t>
      </w:r>
    </w:p>
    <w:p w:rsidR="007766DC" w:rsidRPr="00D036F8" w:rsidRDefault="007766DC" w:rsidP="00D036F8">
      <w:pPr>
        <w:spacing w:after="200" w:line="276" w:lineRule="auto"/>
        <w:rPr>
          <w:rFonts w:ascii="Calibri" w:eastAsia="Calibri" w:hAnsi="Calibri"/>
          <w:b/>
          <w:sz w:val="32"/>
          <w:szCs w:val="22"/>
        </w:rPr>
      </w:pPr>
      <w:r w:rsidRPr="00D036F8">
        <w:rPr>
          <w:rFonts w:asciiTheme="minorHAnsi" w:eastAsiaTheme="minorHAnsi" w:hAnsiTheme="minorHAnsi" w:cstheme="minorBidi"/>
          <w:b/>
          <w:sz w:val="36"/>
          <w:szCs w:val="22"/>
        </w:rPr>
        <w:t>Definitions</w:t>
      </w:r>
    </w:p>
    <w:p w:rsidR="007766DC" w:rsidRPr="006737B9" w:rsidRDefault="007766DC" w:rsidP="006737B9">
      <w:pPr>
        <w:spacing w:after="200" w:line="276" w:lineRule="auto"/>
        <w:jc w:val="both"/>
        <w:rPr>
          <w:rFonts w:ascii="Calibri" w:eastAsiaTheme="minorHAnsi" w:hAnsi="Calibri" w:cstheme="minorBidi"/>
          <w:b/>
        </w:rPr>
      </w:pPr>
      <w:r w:rsidRPr="006737B9">
        <w:rPr>
          <w:rFonts w:ascii="Calibri" w:eastAsiaTheme="minorHAnsi" w:hAnsi="Calibri" w:cstheme="minorBidi"/>
          <w:b/>
        </w:rPr>
        <w:t xml:space="preserve">For definitions of words and meanings, refer to STANDARD DEFINITIONS. </w:t>
      </w:r>
    </w:p>
    <w:p w:rsidR="006737B9" w:rsidRDefault="006737B9" w:rsidP="006737B9">
      <w:pPr>
        <w:tabs>
          <w:tab w:val="left" w:pos="600"/>
        </w:tabs>
        <w:autoSpaceDE w:val="0"/>
        <w:autoSpaceDN w:val="0"/>
        <w:adjustRightInd w:val="0"/>
        <w:jc w:val="both"/>
        <w:rPr>
          <w:rFonts w:ascii="Calibri" w:hAnsi="Calibri" w:cs="Arial"/>
          <w:b/>
        </w:rPr>
      </w:pPr>
    </w:p>
    <w:p w:rsidR="00DD7D57" w:rsidRDefault="00DD7D57" w:rsidP="006737B9">
      <w:pPr>
        <w:tabs>
          <w:tab w:val="left" w:pos="600"/>
        </w:tabs>
        <w:autoSpaceDE w:val="0"/>
        <w:autoSpaceDN w:val="0"/>
        <w:adjustRightInd w:val="0"/>
        <w:jc w:val="both"/>
        <w:rPr>
          <w:rFonts w:ascii="Calibri" w:hAnsi="Calibri" w:cs="Arial"/>
          <w:b/>
        </w:rPr>
      </w:pPr>
    </w:p>
    <w:p w:rsidR="00CE769C" w:rsidRPr="006737B9" w:rsidRDefault="00A43FEE" w:rsidP="006737B9">
      <w:pPr>
        <w:tabs>
          <w:tab w:val="left" w:pos="600"/>
        </w:tabs>
        <w:autoSpaceDE w:val="0"/>
        <w:autoSpaceDN w:val="0"/>
        <w:adjustRightInd w:val="0"/>
        <w:jc w:val="both"/>
        <w:rPr>
          <w:rFonts w:ascii="Calibri" w:hAnsi="Calibri" w:cs="Arial"/>
          <w:b/>
        </w:rPr>
      </w:pPr>
      <w:r w:rsidRPr="006737B9">
        <w:rPr>
          <w:rFonts w:ascii="Calibri" w:hAnsi="Calibri" w:cs="Arial"/>
          <w:b/>
        </w:rPr>
        <w:t xml:space="preserve">Introduction </w:t>
      </w:r>
    </w:p>
    <w:p w:rsidR="00BF5F1C" w:rsidRPr="006737B9" w:rsidRDefault="004C2BEE" w:rsidP="006737B9">
      <w:pPr>
        <w:tabs>
          <w:tab w:val="left" w:pos="600"/>
        </w:tabs>
        <w:autoSpaceDE w:val="0"/>
        <w:autoSpaceDN w:val="0"/>
        <w:adjustRightInd w:val="0"/>
        <w:jc w:val="both"/>
        <w:rPr>
          <w:rFonts w:ascii="Calibri" w:hAnsi="Calibri" w:cs="Arial"/>
        </w:rPr>
      </w:pPr>
      <w:r w:rsidRPr="006737B9">
        <w:rPr>
          <w:rFonts w:ascii="Calibri" w:hAnsi="Calibri" w:cs="Arial"/>
          <w:lang w:val="en-US"/>
        </w:rPr>
        <w:t xml:space="preserve">Disability Shooting Great Britain (DSGB) </w:t>
      </w:r>
      <w:r w:rsidR="00BF5F1C" w:rsidRPr="006737B9">
        <w:rPr>
          <w:rFonts w:ascii="Calibri" w:hAnsi="Calibri" w:cs="Arial"/>
        </w:rPr>
        <w:t xml:space="preserve">is fully committed to the principles of equality of opportunity and is responsible for ensuring that no job applicants, employees, consultants, Directors, volunteers or participants are unlawfully discriminated against because of age, disability, gender reassignment, marriage and civil partnership, pregnancy and maternity, </w:t>
      </w:r>
      <w:r w:rsidR="00A43FEE" w:rsidRPr="006737B9">
        <w:rPr>
          <w:rFonts w:ascii="Calibri" w:hAnsi="Calibri" w:cs="Arial"/>
        </w:rPr>
        <w:t>e</w:t>
      </w:r>
      <w:r w:rsidR="00352901" w:rsidRPr="006737B9">
        <w:rPr>
          <w:rFonts w:ascii="Calibri" w:hAnsi="Calibri" w:cs="Arial"/>
        </w:rPr>
        <w:t>thnicity</w:t>
      </w:r>
      <w:r w:rsidR="00BF5F1C" w:rsidRPr="006737B9">
        <w:rPr>
          <w:rFonts w:ascii="Calibri" w:hAnsi="Calibri" w:cs="Arial"/>
        </w:rPr>
        <w:t>, religion or belief, sex and sexual orientation</w:t>
      </w:r>
      <w:r w:rsidR="003564F7" w:rsidRPr="006737B9">
        <w:rPr>
          <w:rFonts w:ascii="Calibri" w:hAnsi="Calibri" w:cs="Arial"/>
        </w:rPr>
        <w:t>.</w:t>
      </w:r>
      <w:r w:rsidR="00F57355" w:rsidRPr="006737B9">
        <w:rPr>
          <w:rFonts w:ascii="Calibri" w:hAnsi="Calibri" w:cs="Arial"/>
        </w:rPr>
        <w:t xml:space="preserve"> </w:t>
      </w:r>
      <w:r w:rsidR="00865466" w:rsidRPr="006737B9">
        <w:rPr>
          <w:rFonts w:ascii="Calibri" w:hAnsi="Calibri" w:cs="Arial"/>
        </w:rPr>
        <w:t xml:space="preserve"> It is the responsibility of </w:t>
      </w:r>
      <w:r w:rsidR="00F314D4" w:rsidRPr="006737B9">
        <w:rPr>
          <w:rFonts w:ascii="Calibri" w:hAnsi="Calibri" w:cs="Arial"/>
        </w:rPr>
        <w:t xml:space="preserve">each individual </w:t>
      </w:r>
      <w:r w:rsidR="00865466" w:rsidRPr="006737B9">
        <w:rPr>
          <w:rFonts w:ascii="Calibri" w:hAnsi="Calibri" w:cs="Arial"/>
        </w:rPr>
        <w:t>to treat o</w:t>
      </w:r>
      <w:r w:rsidR="001B5677" w:rsidRPr="006737B9">
        <w:rPr>
          <w:rFonts w:ascii="Calibri" w:hAnsi="Calibri" w:cs="Arial"/>
        </w:rPr>
        <w:t>thers with</w:t>
      </w:r>
      <w:r w:rsidR="00865466" w:rsidRPr="006737B9">
        <w:rPr>
          <w:rFonts w:ascii="Calibri" w:hAnsi="Calibri" w:cs="Arial"/>
        </w:rPr>
        <w:t xml:space="preserve"> respect, dignity, sensitivity and fairness; discriminatory, offensive, violent or abusive behaviour or language </w:t>
      </w:r>
      <w:r w:rsidR="0052583C" w:rsidRPr="006737B9">
        <w:rPr>
          <w:rFonts w:ascii="Calibri" w:hAnsi="Calibri" w:cs="Arial"/>
        </w:rPr>
        <w:t>is</w:t>
      </w:r>
      <w:r w:rsidR="00865466" w:rsidRPr="006737B9">
        <w:rPr>
          <w:rFonts w:ascii="Calibri" w:hAnsi="Calibri" w:cs="Arial"/>
        </w:rPr>
        <w:t xml:space="preserve"> unacceptable and complaints will be acted upon.</w:t>
      </w:r>
    </w:p>
    <w:p w:rsidR="000A190C" w:rsidRPr="006737B9" w:rsidRDefault="000A190C" w:rsidP="006737B9">
      <w:pPr>
        <w:tabs>
          <w:tab w:val="left" w:pos="600"/>
        </w:tabs>
        <w:autoSpaceDE w:val="0"/>
        <w:autoSpaceDN w:val="0"/>
        <w:adjustRightInd w:val="0"/>
        <w:jc w:val="both"/>
        <w:rPr>
          <w:rFonts w:ascii="Calibri" w:hAnsi="Calibri" w:cs="Arial"/>
          <w:bCs/>
        </w:rPr>
      </w:pPr>
    </w:p>
    <w:p w:rsidR="000A190C" w:rsidRPr="006737B9" w:rsidRDefault="000A190C" w:rsidP="006737B9">
      <w:pPr>
        <w:tabs>
          <w:tab w:val="left" w:pos="600"/>
        </w:tabs>
        <w:autoSpaceDE w:val="0"/>
        <w:autoSpaceDN w:val="0"/>
        <w:adjustRightInd w:val="0"/>
        <w:jc w:val="both"/>
        <w:rPr>
          <w:rFonts w:ascii="Calibri" w:hAnsi="Calibri" w:cs="Arial"/>
          <w:bCs/>
        </w:rPr>
      </w:pPr>
      <w:r w:rsidRPr="006737B9">
        <w:rPr>
          <w:rFonts w:ascii="Calibri" w:hAnsi="Calibri" w:cs="Arial"/>
          <w:bCs/>
        </w:rPr>
        <w:t>Under current UK legislation, shooting as a gender-affected sport, may be regulated</w:t>
      </w:r>
      <w:r w:rsidR="00352901" w:rsidRPr="006737B9">
        <w:rPr>
          <w:rFonts w:ascii="Calibri" w:hAnsi="Calibri" w:cs="Arial"/>
          <w:bCs/>
        </w:rPr>
        <w:t>.</w:t>
      </w:r>
    </w:p>
    <w:p w:rsidR="00BF5F1C" w:rsidRPr="006737B9" w:rsidRDefault="00BF5F1C" w:rsidP="006737B9">
      <w:pPr>
        <w:pStyle w:val="DCF1"/>
        <w:jc w:val="both"/>
        <w:rPr>
          <w:rFonts w:ascii="Calibri" w:hAnsi="Calibri"/>
          <w:b/>
          <w:sz w:val="24"/>
          <w:szCs w:val="24"/>
        </w:rPr>
      </w:pPr>
    </w:p>
    <w:p w:rsidR="003564F7" w:rsidRPr="006737B9" w:rsidRDefault="003564F7" w:rsidP="006737B9">
      <w:pPr>
        <w:pStyle w:val="DCF1"/>
        <w:jc w:val="both"/>
        <w:rPr>
          <w:rFonts w:ascii="Calibri" w:hAnsi="Calibri"/>
          <w:sz w:val="24"/>
          <w:szCs w:val="24"/>
        </w:rPr>
      </w:pPr>
      <w:r w:rsidRPr="006737B9">
        <w:rPr>
          <w:rFonts w:ascii="Calibri" w:hAnsi="Calibri"/>
          <w:sz w:val="24"/>
          <w:szCs w:val="24"/>
        </w:rPr>
        <w:t>The purpose of this policy is to clarify guidelines for trans</w:t>
      </w:r>
      <w:r w:rsidR="00B433CD" w:rsidRPr="006737B9">
        <w:rPr>
          <w:rFonts w:ascii="Calibri" w:hAnsi="Calibri"/>
          <w:sz w:val="24"/>
          <w:szCs w:val="24"/>
        </w:rPr>
        <w:t xml:space="preserve">sexual </w:t>
      </w:r>
      <w:r w:rsidRPr="006737B9">
        <w:rPr>
          <w:rFonts w:ascii="Calibri" w:hAnsi="Calibri"/>
          <w:sz w:val="24"/>
          <w:szCs w:val="24"/>
        </w:rPr>
        <w:t xml:space="preserve">people to </w:t>
      </w:r>
      <w:r w:rsidR="00B34BC1" w:rsidRPr="006737B9">
        <w:rPr>
          <w:rFonts w:ascii="Calibri" w:hAnsi="Calibri"/>
          <w:sz w:val="24"/>
          <w:szCs w:val="24"/>
        </w:rPr>
        <w:t xml:space="preserve">participate and </w:t>
      </w:r>
      <w:r w:rsidRPr="006737B9">
        <w:rPr>
          <w:rFonts w:ascii="Calibri" w:hAnsi="Calibri"/>
          <w:sz w:val="24"/>
          <w:szCs w:val="24"/>
        </w:rPr>
        <w:t>compete under their acquired gender.</w:t>
      </w:r>
      <w:r w:rsidR="00F44538" w:rsidRPr="006737B9">
        <w:rPr>
          <w:rFonts w:ascii="Calibri" w:hAnsi="Calibri" w:cs="Calibri"/>
          <w:sz w:val="24"/>
          <w:szCs w:val="24"/>
          <w:lang w:eastAsia="en-GB"/>
        </w:rPr>
        <w:t xml:space="preserve"> </w:t>
      </w:r>
      <w:r w:rsidR="00F57355" w:rsidRPr="006737B9">
        <w:rPr>
          <w:rFonts w:ascii="Calibri" w:hAnsi="Calibri" w:cs="Calibri"/>
          <w:sz w:val="24"/>
          <w:szCs w:val="24"/>
          <w:lang w:eastAsia="en-GB"/>
        </w:rPr>
        <w:t xml:space="preserve"> </w:t>
      </w:r>
      <w:r w:rsidR="00F44538" w:rsidRPr="006737B9">
        <w:rPr>
          <w:rFonts w:ascii="Calibri" w:hAnsi="Calibri"/>
          <w:sz w:val="24"/>
          <w:szCs w:val="24"/>
        </w:rPr>
        <w:t>Trans</w:t>
      </w:r>
      <w:r w:rsidR="00B433CD" w:rsidRPr="006737B9">
        <w:rPr>
          <w:rFonts w:ascii="Calibri" w:hAnsi="Calibri"/>
          <w:sz w:val="24"/>
          <w:szCs w:val="24"/>
        </w:rPr>
        <w:t xml:space="preserve">sexual </w:t>
      </w:r>
      <w:r w:rsidR="00F44538" w:rsidRPr="006737B9">
        <w:rPr>
          <w:rFonts w:ascii="Calibri" w:hAnsi="Calibri"/>
          <w:sz w:val="24"/>
          <w:szCs w:val="24"/>
        </w:rPr>
        <w:t xml:space="preserve">people enjoy sport, including competitive </w:t>
      </w:r>
      <w:proofErr w:type="gramStart"/>
      <w:r w:rsidR="00F44538" w:rsidRPr="006737B9">
        <w:rPr>
          <w:rFonts w:ascii="Calibri" w:hAnsi="Calibri"/>
          <w:sz w:val="24"/>
          <w:szCs w:val="24"/>
        </w:rPr>
        <w:t>sport,</w:t>
      </w:r>
      <w:proofErr w:type="gramEnd"/>
      <w:r w:rsidR="00F44538" w:rsidRPr="006737B9">
        <w:rPr>
          <w:rFonts w:ascii="Calibri" w:hAnsi="Calibri"/>
          <w:sz w:val="24"/>
          <w:szCs w:val="24"/>
        </w:rPr>
        <w:t xml:space="preserve"> and </w:t>
      </w:r>
      <w:r w:rsidR="004C2BEE" w:rsidRPr="006737B9">
        <w:rPr>
          <w:rFonts w:ascii="Calibri" w:hAnsi="Calibri"/>
          <w:sz w:val="24"/>
          <w:szCs w:val="24"/>
        </w:rPr>
        <w:t>DSGB</w:t>
      </w:r>
      <w:r w:rsidR="000A190C" w:rsidRPr="006737B9">
        <w:rPr>
          <w:rFonts w:ascii="Calibri" w:hAnsi="Calibri"/>
          <w:sz w:val="24"/>
          <w:szCs w:val="24"/>
        </w:rPr>
        <w:t xml:space="preserve"> has</w:t>
      </w:r>
      <w:r w:rsidR="00F44538" w:rsidRPr="006737B9">
        <w:rPr>
          <w:rFonts w:ascii="Calibri" w:hAnsi="Calibri"/>
          <w:sz w:val="24"/>
          <w:szCs w:val="24"/>
        </w:rPr>
        <w:t xml:space="preserve"> a responsibility to protect and consider the</w:t>
      </w:r>
      <w:r w:rsidR="00811B89" w:rsidRPr="006737B9">
        <w:rPr>
          <w:rFonts w:ascii="Calibri" w:hAnsi="Calibri"/>
          <w:sz w:val="24"/>
          <w:szCs w:val="24"/>
        </w:rPr>
        <w:t>ir</w:t>
      </w:r>
      <w:r w:rsidR="00F44538" w:rsidRPr="006737B9">
        <w:rPr>
          <w:rFonts w:ascii="Calibri" w:hAnsi="Calibri"/>
          <w:sz w:val="24"/>
          <w:szCs w:val="24"/>
        </w:rPr>
        <w:t xml:space="preserve"> needs </w:t>
      </w:r>
      <w:r w:rsidR="00811B89" w:rsidRPr="006737B9">
        <w:rPr>
          <w:rFonts w:ascii="Calibri" w:hAnsi="Calibri"/>
          <w:sz w:val="24"/>
          <w:szCs w:val="24"/>
        </w:rPr>
        <w:t xml:space="preserve">in the sporting environment. </w:t>
      </w:r>
      <w:r w:rsidR="005E19CC" w:rsidRPr="006737B9">
        <w:rPr>
          <w:rFonts w:ascii="Calibri" w:hAnsi="Calibri"/>
          <w:sz w:val="24"/>
          <w:szCs w:val="24"/>
        </w:rPr>
        <w:t>In addition to those wishing to compete, it also has a responsibility to protect those who may be staff or spectators, and who may be transsexual people, or perceived to be so, or associated with them, such as family members.</w:t>
      </w:r>
      <w:r w:rsidR="00F57355" w:rsidRPr="006737B9">
        <w:rPr>
          <w:rFonts w:ascii="Calibri" w:hAnsi="Calibri"/>
          <w:sz w:val="24"/>
          <w:szCs w:val="24"/>
        </w:rPr>
        <w:t xml:space="preserve"> </w:t>
      </w:r>
      <w:r w:rsidR="005E19CC" w:rsidRPr="006737B9">
        <w:rPr>
          <w:rFonts w:ascii="Calibri" w:hAnsi="Calibri"/>
          <w:sz w:val="24"/>
          <w:szCs w:val="24"/>
        </w:rPr>
        <w:t xml:space="preserve"> However this particular policy focuses only on </w:t>
      </w:r>
      <w:r w:rsidR="00B66C74" w:rsidRPr="006737B9">
        <w:rPr>
          <w:rFonts w:ascii="Calibri" w:hAnsi="Calibri"/>
          <w:sz w:val="24"/>
          <w:szCs w:val="24"/>
        </w:rPr>
        <w:t>athletes</w:t>
      </w:r>
      <w:r w:rsidR="005E19CC" w:rsidRPr="006737B9">
        <w:rPr>
          <w:rFonts w:ascii="Calibri" w:hAnsi="Calibri"/>
          <w:sz w:val="24"/>
          <w:szCs w:val="24"/>
        </w:rPr>
        <w:t>, or would-</w:t>
      </w:r>
      <w:proofErr w:type="gramStart"/>
      <w:r w:rsidR="005E19CC" w:rsidRPr="006737B9">
        <w:rPr>
          <w:rFonts w:ascii="Calibri" w:hAnsi="Calibri"/>
          <w:sz w:val="24"/>
          <w:szCs w:val="24"/>
        </w:rPr>
        <w:t xml:space="preserve">be </w:t>
      </w:r>
      <w:r w:rsidR="00B66C74" w:rsidRPr="006737B9">
        <w:rPr>
          <w:rFonts w:ascii="Calibri" w:hAnsi="Calibri"/>
          <w:sz w:val="24"/>
          <w:szCs w:val="24"/>
        </w:rPr>
        <w:t xml:space="preserve"> athletes</w:t>
      </w:r>
      <w:proofErr w:type="gramEnd"/>
      <w:r w:rsidR="005E19CC" w:rsidRPr="006737B9">
        <w:rPr>
          <w:rFonts w:ascii="Calibri" w:hAnsi="Calibri"/>
          <w:sz w:val="24"/>
          <w:szCs w:val="24"/>
        </w:rPr>
        <w:t>, in shooting competitions.</w:t>
      </w:r>
    </w:p>
    <w:p w:rsidR="00C00DEF" w:rsidRPr="006737B9" w:rsidRDefault="00C00DEF" w:rsidP="006737B9">
      <w:pPr>
        <w:pStyle w:val="DCF1"/>
        <w:jc w:val="both"/>
        <w:rPr>
          <w:rFonts w:ascii="Calibri" w:hAnsi="Calibri"/>
          <w:sz w:val="24"/>
          <w:szCs w:val="24"/>
        </w:rPr>
      </w:pPr>
    </w:p>
    <w:p w:rsidR="00C00DEF" w:rsidRPr="006737B9" w:rsidRDefault="00C00DEF" w:rsidP="006737B9">
      <w:pPr>
        <w:pStyle w:val="DCF1"/>
        <w:jc w:val="both"/>
        <w:rPr>
          <w:rFonts w:ascii="Calibri" w:hAnsi="Calibri"/>
          <w:sz w:val="24"/>
          <w:szCs w:val="24"/>
        </w:rPr>
      </w:pPr>
      <w:r w:rsidRPr="006737B9">
        <w:rPr>
          <w:rFonts w:ascii="Calibri" w:hAnsi="Calibri"/>
          <w:sz w:val="24"/>
          <w:szCs w:val="24"/>
        </w:rPr>
        <w:t>This Policy</w:t>
      </w:r>
      <w:r w:rsidR="00566216" w:rsidRPr="006737B9">
        <w:rPr>
          <w:rFonts w:ascii="Calibri" w:hAnsi="Calibri"/>
          <w:sz w:val="24"/>
          <w:szCs w:val="24"/>
        </w:rPr>
        <w:t xml:space="preserve"> has been developed to</w:t>
      </w:r>
      <w:r w:rsidRPr="006737B9">
        <w:rPr>
          <w:rFonts w:ascii="Calibri" w:hAnsi="Calibri"/>
          <w:sz w:val="24"/>
          <w:szCs w:val="24"/>
        </w:rPr>
        <w:t>:</w:t>
      </w:r>
    </w:p>
    <w:p w:rsidR="00C00DEF" w:rsidRPr="006737B9" w:rsidRDefault="00C00DEF" w:rsidP="006737B9">
      <w:pPr>
        <w:pStyle w:val="DCF1"/>
        <w:jc w:val="both"/>
        <w:rPr>
          <w:rFonts w:ascii="Calibri" w:hAnsi="Calibri"/>
          <w:sz w:val="24"/>
          <w:szCs w:val="24"/>
        </w:rPr>
      </w:pPr>
    </w:p>
    <w:p w:rsidR="00B66C74" w:rsidRPr="006737B9" w:rsidRDefault="00F57355" w:rsidP="006737B9">
      <w:pPr>
        <w:pStyle w:val="DCF1"/>
        <w:numPr>
          <w:ilvl w:val="0"/>
          <w:numId w:val="4"/>
        </w:numPr>
        <w:jc w:val="both"/>
        <w:rPr>
          <w:rFonts w:ascii="Calibri" w:hAnsi="Calibri"/>
          <w:sz w:val="24"/>
          <w:szCs w:val="24"/>
        </w:rPr>
      </w:pPr>
      <w:r w:rsidRPr="006737B9">
        <w:rPr>
          <w:rFonts w:ascii="Calibri" w:hAnsi="Calibri"/>
          <w:sz w:val="24"/>
          <w:szCs w:val="24"/>
        </w:rPr>
        <w:t>S</w:t>
      </w:r>
      <w:r w:rsidR="00C00DEF" w:rsidRPr="006737B9">
        <w:rPr>
          <w:rFonts w:ascii="Calibri" w:hAnsi="Calibri"/>
          <w:sz w:val="24"/>
          <w:szCs w:val="24"/>
        </w:rPr>
        <w:t xml:space="preserve">et out how </w:t>
      </w:r>
      <w:r w:rsidR="004C2BEE" w:rsidRPr="006737B9">
        <w:rPr>
          <w:rFonts w:ascii="Calibri" w:hAnsi="Calibri"/>
          <w:sz w:val="24"/>
          <w:szCs w:val="24"/>
        </w:rPr>
        <w:t>DSGB</w:t>
      </w:r>
      <w:r w:rsidR="00C00DEF" w:rsidRPr="006737B9">
        <w:rPr>
          <w:rFonts w:ascii="Calibri" w:hAnsi="Calibri"/>
          <w:sz w:val="24"/>
          <w:szCs w:val="24"/>
        </w:rPr>
        <w:t xml:space="preserve"> will deal with the issues facing transsexual people seeking </w:t>
      </w:r>
      <w:r w:rsidR="00157150" w:rsidRPr="006737B9">
        <w:rPr>
          <w:rFonts w:ascii="Calibri" w:hAnsi="Calibri"/>
          <w:sz w:val="24"/>
          <w:szCs w:val="24"/>
        </w:rPr>
        <w:t xml:space="preserve">to compete at international level </w:t>
      </w:r>
      <w:r w:rsidR="006352E0" w:rsidRPr="006737B9">
        <w:rPr>
          <w:rFonts w:ascii="Calibri" w:hAnsi="Calibri"/>
          <w:sz w:val="24"/>
          <w:szCs w:val="24"/>
        </w:rPr>
        <w:t>and encourage NGB’s to greater inclusivity to all those engaged in the sport at domestic level competition in a way that is fair to everyone and all those concerned.</w:t>
      </w:r>
    </w:p>
    <w:p w:rsidR="00F57355" w:rsidRPr="006737B9" w:rsidRDefault="00B66C74" w:rsidP="006737B9">
      <w:pPr>
        <w:pStyle w:val="DCF1"/>
        <w:numPr>
          <w:ilvl w:val="0"/>
          <w:numId w:val="4"/>
        </w:numPr>
        <w:jc w:val="both"/>
        <w:rPr>
          <w:rFonts w:ascii="Calibri" w:hAnsi="Calibri"/>
          <w:sz w:val="24"/>
          <w:szCs w:val="24"/>
        </w:rPr>
      </w:pPr>
      <w:r w:rsidRPr="006737B9">
        <w:rPr>
          <w:rFonts w:ascii="Calibri" w:hAnsi="Calibri"/>
          <w:sz w:val="24"/>
          <w:szCs w:val="24"/>
        </w:rPr>
        <w:t>Show how DSGB will demonstrate this inclusivity whilst protecting the integrity of men’s, women’s and mixed competitions.</w:t>
      </w:r>
    </w:p>
    <w:p w:rsidR="00C00DEF" w:rsidRPr="006737B9" w:rsidRDefault="00C00DEF" w:rsidP="006737B9">
      <w:pPr>
        <w:pStyle w:val="DCF1"/>
        <w:ind w:left="720"/>
        <w:jc w:val="both"/>
        <w:rPr>
          <w:rFonts w:ascii="Calibri" w:hAnsi="Calibri"/>
          <w:sz w:val="24"/>
          <w:szCs w:val="24"/>
        </w:rPr>
      </w:pPr>
    </w:p>
    <w:p w:rsidR="00A43FEE" w:rsidRPr="006737B9" w:rsidRDefault="00F57355" w:rsidP="006737B9">
      <w:pPr>
        <w:pStyle w:val="DCF1"/>
        <w:numPr>
          <w:ilvl w:val="0"/>
          <w:numId w:val="4"/>
        </w:numPr>
        <w:jc w:val="both"/>
        <w:rPr>
          <w:rFonts w:ascii="Calibri" w:hAnsi="Calibri"/>
          <w:sz w:val="24"/>
          <w:szCs w:val="24"/>
        </w:rPr>
      </w:pPr>
      <w:r w:rsidRPr="006737B9">
        <w:rPr>
          <w:rFonts w:ascii="Calibri" w:hAnsi="Calibri"/>
          <w:sz w:val="24"/>
          <w:szCs w:val="24"/>
        </w:rPr>
        <w:t>B</w:t>
      </w:r>
      <w:r w:rsidR="00A43FEE" w:rsidRPr="006737B9">
        <w:rPr>
          <w:rFonts w:ascii="Calibri" w:hAnsi="Calibri"/>
          <w:sz w:val="24"/>
          <w:szCs w:val="24"/>
        </w:rPr>
        <w:t>uild greater understand</w:t>
      </w:r>
      <w:r w:rsidR="00E2209C" w:rsidRPr="006737B9">
        <w:rPr>
          <w:rFonts w:ascii="Calibri" w:hAnsi="Calibri"/>
          <w:sz w:val="24"/>
          <w:szCs w:val="24"/>
        </w:rPr>
        <w:t>ing</w:t>
      </w:r>
      <w:r w:rsidR="00A43FEE" w:rsidRPr="006737B9">
        <w:rPr>
          <w:rFonts w:ascii="Calibri" w:hAnsi="Calibri"/>
          <w:sz w:val="24"/>
          <w:szCs w:val="24"/>
        </w:rPr>
        <w:t xml:space="preserve"> amongst the shooting community of the issues, needs and rights of transsexual people in the sport</w:t>
      </w:r>
      <w:r w:rsidRPr="006737B9">
        <w:rPr>
          <w:rFonts w:ascii="Calibri" w:hAnsi="Calibri"/>
          <w:sz w:val="24"/>
          <w:szCs w:val="24"/>
        </w:rPr>
        <w:t>.</w:t>
      </w:r>
    </w:p>
    <w:p w:rsidR="00F57355" w:rsidRPr="006737B9" w:rsidRDefault="00F57355" w:rsidP="006737B9">
      <w:pPr>
        <w:pStyle w:val="DCF1"/>
        <w:jc w:val="both"/>
        <w:rPr>
          <w:rFonts w:ascii="Calibri" w:hAnsi="Calibri"/>
          <w:sz w:val="24"/>
          <w:szCs w:val="24"/>
        </w:rPr>
      </w:pPr>
    </w:p>
    <w:p w:rsidR="00F10943" w:rsidRDefault="00F57355" w:rsidP="006737B9">
      <w:pPr>
        <w:pStyle w:val="DCF1"/>
        <w:numPr>
          <w:ilvl w:val="0"/>
          <w:numId w:val="4"/>
        </w:numPr>
        <w:jc w:val="both"/>
        <w:rPr>
          <w:rFonts w:ascii="Calibri" w:hAnsi="Calibri"/>
          <w:sz w:val="24"/>
          <w:szCs w:val="24"/>
        </w:rPr>
      </w:pPr>
      <w:r w:rsidRPr="006737B9">
        <w:rPr>
          <w:rFonts w:ascii="Calibri" w:hAnsi="Calibri"/>
          <w:sz w:val="24"/>
          <w:szCs w:val="24"/>
        </w:rPr>
        <w:t>C</w:t>
      </w:r>
      <w:r w:rsidR="00F10943" w:rsidRPr="006737B9">
        <w:rPr>
          <w:rFonts w:ascii="Calibri" w:hAnsi="Calibri"/>
          <w:sz w:val="24"/>
          <w:szCs w:val="24"/>
        </w:rPr>
        <w:t>over the eligibility, selection and participation of transsexual athletes in domestic</w:t>
      </w:r>
      <w:r w:rsidRPr="006737B9">
        <w:rPr>
          <w:rFonts w:ascii="Calibri" w:hAnsi="Calibri"/>
          <w:sz w:val="24"/>
          <w:szCs w:val="24"/>
        </w:rPr>
        <w:t xml:space="preserve"> and international competition.</w:t>
      </w:r>
    </w:p>
    <w:p w:rsidR="00FB112F" w:rsidRDefault="00FB112F" w:rsidP="00FB112F">
      <w:pPr>
        <w:pStyle w:val="ListParagraph"/>
        <w:rPr>
          <w:rFonts w:ascii="Calibri" w:hAnsi="Calibri"/>
        </w:rPr>
      </w:pPr>
    </w:p>
    <w:p w:rsidR="00FB112F" w:rsidRDefault="00FB112F" w:rsidP="00FB112F">
      <w:pPr>
        <w:pStyle w:val="DCF1"/>
        <w:ind w:left="720"/>
        <w:jc w:val="both"/>
        <w:rPr>
          <w:rFonts w:ascii="Calibri" w:hAnsi="Calibri"/>
          <w:sz w:val="24"/>
          <w:szCs w:val="24"/>
        </w:rPr>
      </w:pPr>
    </w:p>
    <w:p w:rsidR="00FB112F" w:rsidRPr="006737B9" w:rsidRDefault="00FB112F" w:rsidP="00FB112F">
      <w:pPr>
        <w:pStyle w:val="DCF1"/>
        <w:ind w:left="720"/>
        <w:jc w:val="both"/>
        <w:rPr>
          <w:rFonts w:ascii="Calibri" w:hAnsi="Calibri"/>
          <w:sz w:val="24"/>
          <w:szCs w:val="24"/>
        </w:rPr>
      </w:pPr>
    </w:p>
    <w:p w:rsidR="00DD7D57" w:rsidRDefault="00DD7D57" w:rsidP="006737B9">
      <w:pPr>
        <w:pStyle w:val="DCF1"/>
        <w:jc w:val="both"/>
        <w:rPr>
          <w:rFonts w:ascii="Calibri" w:hAnsi="Calibri"/>
          <w:b/>
          <w:bCs/>
          <w:sz w:val="24"/>
          <w:szCs w:val="24"/>
        </w:rPr>
      </w:pPr>
    </w:p>
    <w:p w:rsidR="00B66C74" w:rsidRPr="006737B9" w:rsidRDefault="00B66C74" w:rsidP="006737B9">
      <w:pPr>
        <w:pStyle w:val="DCF1"/>
        <w:jc w:val="both"/>
        <w:rPr>
          <w:rFonts w:ascii="Calibri" w:hAnsi="Calibri"/>
          <w:b/>
          <w:bCs/>
          <w:sz w:val="24"/>
          <w:szCs w:val="24"/>
        </w:rPr>
      </w:pPr>
      <w:r w:rsidRPr="006737B9">
        <w:rPr>
          <w:rFonts w:ascii="Calibri" w:hAnsi="Calibri"/>
          <w:b/>
          <w:bCs/>
          <w:sz w:val="24"/>
          <w:szCs w:val="24"/>
        </w:rPr>
        <w:t xml:space="preserve">Definitions and Terminology </w:t>
      </w: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Transgender person - the terms transgender person or Trans person are umbrella terms to cover a number of specific terms such as transsexual men, transsexual women, intersex people, androgyne and polygender people, cross‐dressing and transvestite people.</w:t>
      </w:r>
    </w:p>
    <w:p w:rsidR="00B66C74" w:rsidRPr="006737B9" w:rsidRDefault="00B66C74" w:rsidP="006737B9">
      <w:pPr>
        <w:pStyle w:val="DCF1"/>
        <w:jc w:val="both"/>
        <w:rPr>
          <w:rFonts w:ascii="Calibri" w:hAnsi="Calibri"/>
          <w:bCs/>
          <w:sz w:val="24"/>
          <w:szCs w:val="24"/>
        </w:rPr>
      </w:pP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Transsexual person - this term refers to someone with the protected characteristic of gender reassignment. The term transsexual man describes a female‐to male transsexual person and transsexual woman to describe a male‐to‐female transsexual person.  This is not the same as a crossdresser, or transvestite people, nor is it the same as sexual orientation.</w:t>
      </w:r>
    </w:p>
    <w:p w:rsidR="00B66C74" w:rsidRPr="006737B9" w:rsidRDefault="00B66C74" w:rsidP="006737B9">
      <w:pPr>
        <w:pStyle w:val="DCF1"/>
        <w:jc w:val="both"/>
        <w:rPr>
          <w:rFonts w:ascii="Calibri" w:hAnsi="Calibri"/>
          <w:bCs/>
          <w:sz w:val="24"/>
          <w:szCs w:val="24"/>
        </w:rPr>
      </w:pP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Gender dysphoria - the NHS uses the following terms and explanations with regard to gender dysphoria. Gender dysphoria is a condition in which a person feels that there is a mismatch between their biological sex and their gender identity.  Biological sex is assigned at birth, depending on the appearance of the infant. Gender identity is the gender that a person ‘identifies’ with, or feels themselves to be.  Gender dysphoria is a recognised condition, for which treatment is sometimes appropriate. It is not a mental illness.  Some people with gender dysphoria have a strong and persistent desire to live according to their gender identity, rather than their biological sex and may undergo treatment so that their physical appearance is more consistent with their gender identity.</w:t>
      </w:r>
    </w:p>
    <w:p w:rsidR="00B66C74" w:rsidRPr="006737B9" w:rsidRDefault="00B66C74" w:rsidP="006737B9">
      <w:pPr>
        <w:pStyle w:val="DCF1"/>
        <w:jc w:val="both"/>
        <w:rPr>
          <w:rFonts w:ascii="Calibri" w:hAnsi="Calibri"/>
          <w:bCs/>
          <w:sz w:val="24"/>
          <w:szCs w:val="24"/>
        </w:rPr>
      </w:pP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 xml:space="preserve">On average, men are diagnosed with gender dysphoria five times more than women.  While gender dysphoria is rare, the number of people being diagnosed with it is increasing due to growing public awareness about the condition. </w:t>
      </w:r>
    </w:p>
    <w:p w:rsidR="00B66C74" w:rsidRPr="006737B9" w:rsidRDefault="00B66C74" w:rsidP="006737B9">
      <w:pPr>
        <w:pStyle w:val="DCF1"/>
        <w:jc w:val="both"/>
        <w:rPr>
          <w:rFonts w:ascii="Calibri" w:hAnsi="Calibri"/>
          <w:bCs/>
          <w:sz w:val="24"/>
          <w:szCs w:val="24"/>
        </w:rPr>
      </w:pP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Affirmed (acquired) gender – the terms ‘affirmed’ or ‘acquired gender’ describe the sex that the person has transitioned/is transitioning to as opposed to that which was assigned at birth.</w:t>
      </w:r>
    </w:p>
    <w:p w:rsidR="00B66C74" w:rsidRPr="006737B9" w:rsidRDefault="00B66C74" w:rsidP="006737B9">
      <w:pPr>
        <w:pStyle w:val="DCF1"/>
        <w:jc w:val="both"/>
        <w:rPr>
          <w:rFonts w:ascii="Calibri" w:hAnsi="Calibri"/>
          <w:bCs/>
          <w:sz w:val="24"/>
          <w:szCs w:val="24"/>
        </w:rPr>
      </w:pPr>
    </w:p>
    <w:p w:rsidR="00B66C74" w:rsidRPr="006737B9" w:rsidRDefault="00B66C74" w:rsidP="006737B9">
      <w:pPr>
        <w:pStyle w:val="DCF1"/>
        <w:jc w:val="both"/>
        <w:rPr>
          <w:rFonts w:ascii="Calibri" w:hAnsi="Calibri"/>
          <w:bCs/>
          <w:sz w:val="24"/>
          <w:szCs w:val="24"/>
        </w:rPr>
      </w:pPr>
      <w:r w:rsidRPr="006737B9">
        <w:rPr>
          <w:rFonts w:ascii="Calibri" w:hAnsi="Calibri"/>
          <w:bCs/>
          <w:sz w:val="24"/>
          <w:szCs w:val="24"/>
        </w:rPr>
        <w:t>Transphobia - the term ‘transphobia’ or ‘transphobic discrimination’ describes discriminatory, abusive or negative language or behaviour that is directed towards anyone who comes under the umbrella term of transgender; in addition it may be towards a transsexual person’s friend or supporter, or anyone that may be perceived to be a transsexual person (whether they are a transsexual person or not).  The behaviour may include a reluctance or refusal to provide access to services to the same extent as that provided for a non‐transsexual person.</w:t>
      </w:r>
    </w:p>
    <w:p w:rsidR="00B66C74" w:rsidRPr="006737B9" w:rsidRDefault="00B66C74" w:rsidP="006737B9">
      <w:pPr>
        <w:pStyle w:val="DCF1"/>
        <w:jc w:val="both"/>
        <w:rPr>
          <w:rFonts w:ascii="Calibri" w:hAnsi="Calibri"/>
          <w:sz w:val="24"/>
          <w:szCs w:val="24"/>
          <w:lang w:val="en-US"/>
        </w:rPr>
      </w:pPr>
    </w:p>
    <w:p w:rsidR="00B66C74" w:rsidRPr="006737B9" w:rsidRDefault="00B66C74" w:rsidP="006737B9">
      <w:pPr>
        <w:pStyle w:val="DCF1"/>
        <w:jc w:val="both"/>
        <w:rPr>
          <w:rFonts w:ascii="Calibri" w:hAnsi="Calibri"/>
          <w:sz w:val="24"/>
          <w:szCs w:val="24"/>
          <w:lang w:val="en-US"/>
        </w:rPr>
      </w:pPr>
      <w:r w:rsidRPr="006737B9">
        <w:rPr>
          <w:rFonts w:ascii="Calibri" w:hAnsi="Calibri"/>
          <w:sz w:val="24"/>
          <w:szCs w:val="24"/>
          <w:lang w:val="en-US"/>
        </w:rPr>
        <w:t>Gender reassignment is one of a number of protected characteristics defined in the Equality Act 2010 and is the process of transitioning from one sex to another.  This legislation (as well as the equality legislation in Northern Ireland) prohibits discrimination against a person who is proposing to undergo, is undergoing or has undergone a process, or part of a process, for the purpose of reassigning their sex.</w:t>
      </w:r>
    </w:p>
    <w:p w:rsidR="00B66C74" w:rsidRDefault="00B66C74" w:rsidP="006737B9">
      <w:pPr>
        <w:pStyle w:val="DCF1"/>
        <w:jc w:val="both"/>
        <w:rPr>
          <w:rFonts w:ascii="Calibri" w:hAnsi="Calibri"/>
          <w:sz w:val="24"/>
          <w:szCs w:val="24"/>
          <w:lang w:val="en-US"/>
        </w:rPr>
      </w:pPr>
    </w:p>
    <w:p w:rsidR="00DD7D57" w:rsidRPr="006737B9" w:rsidRDefault="00DD7D57" w:rsidP="006737B9">
      <w:pPr>
        <w:pStyle w:val="DCF1"/>
        <w:jc w:val="both"/>
        <w:rPr>
          <w:rFonts w:ascii="Calibri" w:hAnsi="Calibri"/>
          <w:sz w:val="24"/>
          <w:szCs w:val="24"/>
          <w:lang w:val="en-US"/>
        </w:rPr>
      </w:pPr>
    </w:p>
    <w:p w:rsidR="00BC092B" w:rsidRPr="006737B9" w:rsidRDefault="00BC092B" w:rsidP="006737B9">
      <w:pPr>
        <w:pStyle w:val="DCF1"/>
        <w:jc w:val="both"/>
        <w:rPr>
          <w:rFonts w:ascii="Calibri" w:hAnsi="Calibri"/>
          <w:b/>
          <w:sz w:val="24"/>
          <w:szCs w:val="24"/>
        </w:rPr>
      </w:pPr>
      <w:r w:rsidRPr="006737B9">
        <w:rPr>
          <w:rFonts w:ascii="Calibri" w:hAnsi="Calibri"/>
          <w:b/>
          <w:sz w:val="24"/>
          <w:szCs w:val="24"/>
        </w:rPr>
        <w:t xml:space="preserve">Gender Recognition </w:t>
      </w:r>
    </w:p>
    <w:p w:rsidR="00FA7B74" w:rsidRPr="006737B9" w:rsidRDefault="00FA7B74" w:rsidP="006737B9">
      <w:pPr>
        <w:pStyle w:val="DCF1"/>
        <w:jc w:val="both"/>
        <w:rPr>
          <w:rFonts w:ascii="Calibri" w:hAnsi="Calibri"/>
          <w:sz w:val="24"/>
          <w:szCs w:val="24"/>
        </w:rPr>
      </w:pPr>
      <w:r w:rsidRPr="006737B9">
        <w:rPr>
          <w:rFonts w:ascii="Calibri" w:hAnsi="Calibri"/>
          <w:sz w:val="24"/>
          <w:szCs w:val="24"/>
        </w:rPr>
        <w:t>Gender Recognition is a process which enables transsexual people to be legal</w:t>
      </w:r>
      <w:r w:rsidR="00566216" w:rsidRPr="006737B9">
        <w:rPr>
          <w:rFonts w:ascii="Calibri" w:hAnsi="Calibri"/>
          <w:sz w:val="24"/>
          <w:szCs w:val="24"/>
        </w:rPr>
        <w:t xml:space="preserve">ly recognised in their acquired </w:t>
      </w:r>
      <w:r w:rsidRPr="006737B9">
        <w:rPr>
          <w:rFonts w:ascii="Calibri" w:hAnsi="Calibri"/>
          <w:sz w:val="24"/>
          <w:szCs w:val="24"/>
        </w:rPr>
        <w:t xml:space="preserve">gender. </w:t>
      </w:r>
      <w:r w:rsidR="00F57355" w:rsidRPr="006737B9">
        <w:rPr>
          <w:rFonts w:ascii="Calibri" w:hAnsi="Calibri"/>
          <w:sz w:val="24"/>
          <w:szCs w:val="24"/>
        </w:rPr>
        <w:t xml:space="preserve"> </w:t>
      </w:r>
      <w:r w:rsidRPr="006737B9">
        <w:rPr>
          <w:rFonts w:ascii="Calibri" w:hAnsi="Calibri"/>
          <w:sz w:val="24"/>
          <w:szCs w:val="24"/>
        </w:rPr>
        <w:t xml:space="preserve">Under the provisions of the Gender Recognition Act 2004, a transsexual person may submit an application to the Gender Recognition Panel. </w:t>
      </w:r>
      <w:r w:rsidR="00F57355" w:rsidRPr="006737B9">
        <w:rPr>
          <w:rFonts w:ascii="Calibri" w:hAnsi="Calibri"/>
          <w:sz w:val="24"/>
          <w:szCs w:val="24"/>
        </w:rPr>
        <w:t xml:space="preserve"> </w:t>
      </w:r>
      <w:r w:rsidRPr="006737B9">
        <w:rPr>
          <w:rFonts w:ascii="Calibri" w:hAnsi="Calibri"/>
          <w:sz w:val="24"/>
          <w:szCs w:val="24"/>
        </w:rPr>
        <w:t>Successful applicants will receive a Gender Recognition Certificate</w:t>
      </w:r>
      <w:r w:rsidR="00397CE5" w:rsidRPr="006737B9">
        <w:rPr>
          <w:rFonts w:ascii="Calibri" w:hAnsi="Calibri"/>
          <w:sz w:val="24"/>
          <w:szCs w:val="24"/>
        </w:rPr>
        <w:t xml:space="preserve"> (GRC)</w:t>
      </w:r>
      <w:r w:rsidRPr="006737B9">
        <w:rPr>
          <w:rFonts w:ascii="Calibri" w:hAnsi="Calibri"/>
          <w:sz w:val="24"/>
          <w:szCs w:val="24"/>
        </w:rPr>
        <w:t xml:space="preserve"> and will, from the date of full recognition, acquire all the rights and responsibilities appropriate to a person of his or her acquired gender</w:t>
      </w:r>
      <w:r w:rsidR="00F57355" w:rsidRPr="006737B9">
        <w:rPr>
          <w:rFonts w:ascii="Calibri" w:hAnsi="Calibri"/>
          <w:sz w:val="24"/>
          <w:szCs w:val="24"/>
        </w:rPr>
        <w:t>.</w:t>
      </w:r>
    </w:p>
    <w:p w:rsidR="00B7018D" w:rsidRPr="006737B9" w:rsidRDefault="00B7018D" w:rsidP="006737B9">
      <w:pPr>
        <w:pStyle w:val="DCF1"/>
        <w:jc w:val="both"/>
        <w:rPr>
          <w:rFonts w:ascii="Calibri" w:hAnsi="Calibri"/>
          <w:sz w:val="24"/>
          <w:szCs w:val="24"/>
        </w:rPr>
      </w:pPr>
    </w:p>
    <w:p w:rsidR="00DD7D57" w:rsidRDefault="00DD7D57" w:rsidP="006737B9">
      <w:pPr>
        <w:pStyle w:val="DCF1"/>
        <w:jc w:val="both"/>
        <w:rPr>
          <w:rFonts w:ascii="Calibri" w:hAnsi="Calibri"/>
          <w:sz w:val="24"/>
          <w:szCs w:val="24"/>
        </w:rPr>
      </w:pPr>
    </w:p>
    <w:p w:rsidR="00DD7D57" w:rsidRPr="00407106" w:rsidRDefault="00DD7D57" w:rsidP="006737B9">
      <w:pPr>
        <w:pStyle w:val="DCF1"/>
        <w:jc w:val="both"/>
        <w:rPr>
          <w:rFonts w:ascii="Calibri" w:hAnsi="Calibri"/>
          <w:sz w:val="16"/>
          <w:szCs w:val="16"/>
        </w:rPr>
      </w:pPr>
    </w:p>
    <w:p w:rsidR="00BC092B" w:rsidRPr="006737B9" w:rsidRDefault="00BC092B" w:rsidP="006737B9">
      <w:pPr>
        <w:pStyle w:val="DCF1"/>
        <w:jc w:val="both"/>
        <w:rPr>
          <w:rFonts w:ascii="Calibri" w:hAnsi="Calibri"/>
          <w:sz w:val="24"/>
          <w:szCs w:val="24"/>
        </w:rPr>
      </w:pPr>
      <w:r w:rsidRPr="006737B9">
        <w:rPr>
          <w:rFonts w:ascii="Calibri" w:hAnsi="Calibri"/>
          <w:sz w:val="24"/>
          <w:szCs w:val="24"/>
        </w:rPr>
        <w:t xml:space="preserve">Applicants must provide paper evidence to the Gender Recognition Panel indicating that they have already changed their name, title and gender role, on a continuous basis, for at least two years, and that they have the intention to live in the altered gender role for the rest of their lives. </w:t>
      </w:r>
      <w:r w:rsidR="00F57355" w:rsidRPr="006737B9">
        <w:rPr>
          <w:rFonts w:ascii="Calibri" w:hAnsi="Calibri"/>
          <w:sz w:val="24"/>
          <w:szCs w:val="24"/>
        </w:rPr>
        <w:t xml:space="preserve"> </w:t>
      </w:r>
      <w:r w:rsidRPr="006737B9">
        <w:rPr>
          <w:rFonts w:ascii="Calibri" w:hAnsi="Calibri"/>
          <w:sz w:val="24"/>
          <w:szCs w:val="24"/>
        </w:rPr>
        <w:t xml:space="preserve">A medical opinion indicating that the applicant has experienced gender dysphoria is necessary, and some details regarding the nature and dates of treatment where this has been undertaken. </w:t>
      </w:r>
      <w:r w:rsidR="00F57355" w:rsidRPr="006737B9">
        <w:rPr>
          <w:rFonts w:ascii="Calibri" w:hAnsi="Calibri"/>
          <w:sz w:val="24"/>
          <w:szCs w:val="24"/>
        </w:rPr>
        <w:t xml:space="preserve"> </w:t>
      </w:r>
      <w:r w:rsidRPr="006737B9">
        <w:rPr>
          <w:rFonts w:ascii="Calibri" w:hAnsi="Calibri"/>
          <w:sz w:val="24"/>
          <w:szCs w:val="24"/>
        </w:rPr>
        <w:t>However, no surgery is required.</w:t>
      </w:r>
    </w:p>
    <w:p w:rsidR="00F44538" w:rsidRPr="006737B9" w:rsidRDefault="00F44538" w:rsidP="006737B9">
      <w:pPr>
        <w:pStyle w:val="DCF1"/>
        <w:jc w:val="both"/>
        <w:rPr>
          <w:rFonts w:ascii="Calibri" w:hAnsi="Calibri"/>
          <w:sz w:val="24"/>
          <w:szCs w:val="24"/>
        </w:rPr>
      </w:pPr>
    </w:p>
    <w:p w:rsidR="00397CE5" w:rsidRPr="006737B9" w:rsidRDefault="00626F1F" w:rsidP="006737B9">
      <w:pPr>
        <w:pStyle w:val="DCF1"/>
        <w:jc w:val="both"/>
        <w:rPr>
          <w:rFonts w:ascii="Calibri" w:hAnsi="Calibri"/>
          <w:sz w:val="24"/>
          <w:szCs w:val="24"/>
        </w:rPr>
      </w:pPr>
      <w:r w:rsidRPr="006737B9">
        <w:rPr>
          <w:rFonts w:ascii="Calibri" w:hAnsi="Calibri"/>
          <w:sz w:val="24"/>
          <w:szCs w:val="24"/>
        </w:rPr>
        <w:t xml:space="preserve">In practical terms, legal recognition will have the effect that, for example, a male-to-female transsexual person will be legally recognised as a woman in English law. </w:t>
      </w:r>
      <w:r w:rsidR="00821EE7" w:rsidRPr="006737B9">
        <w:rPr>
          <w:rFonts w:ascii="Calibri" w:hAnsi="Calibri"/>
          <w:sz w:val="24"/>
          <w:szCs w:val="24"/>
        </w:rPr>
        <w:t xml:space="preserve"> </w:t>
      </w:r>
      <w:r w:rsidRPr="006737B9">
        <w:rPr>
          <w:rFonts w:ascii="Calibri" w:hAnsi="Calibri"/>
          <w:sz w:val="24"/>
          <w:szCs w:val="24"/>
        </w:rPr>
        <w:t xml:space="preserve">On the issue of a full Gender Recognition Certificate, the person will be entitled to a new birth certificate reflecting the acquired gender and will be able to marry someone of the opposite </w:t>
      </w:r>
      <w:r w:rsidR="00F44538" w:rsidRPr="006737B9">
        <w:rPr>
          <w:rFonts w:ascii="Calibri" w:hAnsi="Calibri"/>
          <w:sz w:val="24"/>
          <w:szCs w:val="24"/>
        </w:rPr>
        <w:t xml:space="preserve">gender and, from March 2014, the same </w:t>
      </w:r>
      <w:r w:rsidRPr="006737B9">
        <w:rPr>
          <w:rFonts w:ascii="Calibri" w:hAnsi="Calibri"/>
          <w:sz w:val="24"/>
          <w:szCs w:val="24"/>
        </w:rPr>
        <w:t xml:space="preserve">gender to his or her acquired gender. </w:t>
      </w:r>
      <w:r w:rsidR="00F57355" w:rsidRPr="006737B9">
        <w:rPr>
          <w:rFonts w:ascii="Calibri" w:hAnsi="Calibri"/>
          <w:sz w:val="24"/>
          <w:szCs w:val="24"/>
        </w:rPr>
        <w:t xml:space="preserve"> </w:t>
      </w:r>
      <w:r w:rsidR="00397CE5" w:rsidRPr="006737B9">
        <w:rPr>
          <w:rFonts w:ascii="Calibri" w:hAnsi="Calibri"/>
          <w:sz w:val="24"/>
          <w:szCs w:val="24"/>
        </w:rPr>
        <w:t>The GRC has strict privacy provisions which must not be breached by any person acquiring such information in an ‘official capacity’.  Disclosure to a third party would be a criminal offence.</w:t>
      </w:r>
    </w:p>
    <w:p w:rsidR="00626F1F" w:rsidRPr="006737B9" w:rsidRDefault="00626F1F" w:rsidP="006737B9">
      <w:pPr>
        <w:pStyle w:val="DCF1"/>
        <w:jc w:val="both"/>
        <w:rPr>
          <w:rFonts w:ascii="Calibri" w:hAnsi="Calibri"/>
          <w:sz w:val="24"/>
          <w:szCs w:val="24"/>
        </w:rPr>
      </w:pPr>
    </w:p>
    <w:p w:rsidR="00A83FEA" w:rsidRPr="006737B9" w:rsidRDefault="00626F1F" w:rsidP="006737B9">
      <w:pPr>
        <w:pStyle w:val="DCF1"/>
        <w:jc w:val="both"/>
        <w:rPr>
          <w:rFonts w:ascii="Calibri" w:hAnsi="Calibri"/>
          <w:bCs/>
          <w:sz w:val="24"/>
          <w:szCs w:val="24"/>
        </w:rPr>
      </w:pPr>
      <w:r w:rsidRPr="006737B9">
        <w:rPr>
          <w:rFonts w:ascii="Calibri" w:hAnsi="Calibri"/>
          <w:sz w:val="24"/>
          <w:szCs w:val="24"/>
        </w:rPr>
        <w:t>The Act makes specific provision for sports organisations to prohibit or restrict a person whose gender has become the acquired gender under the Act from participating as competitors in an event or events involving a gender-affected sport.</w:t>
      </w:r>
      <w:r w:rsidR="00821EE7" w:rsidRPr="006737B9">
        <w:rPr>
          <w:rFonts w:ascii="Calibri" w:hAnsi="Calibri"/>
          <w:sz w:val="24"/>
          <w:szCs w:val="24"/>
        </w:rPr>
        <w:t xml:space="preserve"> </w:t>
      </w:r>
      <w:r w:rsidRPr="006737B9">
        <w:rPr>
          <w:rFonts w:ascii="Calibri" w:hAnsi="Calibri"/>
          <w:sz w:val="24"/>
          <w:szCs w:val="24"/>
        </w:rPr>
        <w:t xml:space="preserve"> A sport is a gender-affected sport if the physical strength, stamina or physique of average persons of one gender would put them at a disadvantage to average persons of the other gender as competitors in events involving the sport.</w:t>
      </w:r>
    </w:p>
    <w:p w:rsidR="00626F1F" w:rsidRDefault="00626F1F" w:rsidP="006737B9">
      <w:pPr>
        <w:pStyle w:val="DCF1"/>
        <w:jc w:val="both"/>
        <w:rPr>
          <w:rFonts w:ascii="Calibri" w:hAnsi="Calibri"/>
          <w:sz w:val="24"/>
          <w:szCs w:val="24"/>
        </w:rPr>
      </w:pPr>
    </w:p>
    <w:p w:rsidR="00DD7D57" w:rsidRPr="006737B9" w:rsidRDefault="00DD7D57" w:rsidP="006737B9">
      <w:pPr>
        <w:pStyle w:val="DCF1"/>
        <w:jc w:val="both"/>
        <w:rPr>
          <w:rFonts w:ascii="Calibri" w:hAnsi="Calibri"/>
          <w:sz w:val="24"/>
          <w:szCs w:val="24"/>
        </w:rPr>
      </w:pPr>
    </w:p>
    <w:p w:rsidR="003564F7" w:rsidRPr="006737B9" w:rsidRDefault="00C00DEF" w:rsidP="006737B9">
      <w:pPr>
        <w:pStyle w:val="DCF1"/>
        <w:jc w:val="both"/>
        <w:rPr>
          <w:rFonts w:ascii="Calibri" w:hAnsi="Calibri"/>
          <w:b/>
          <w:sz w:val="24"/>
          <w:szCs w:val="24"/>
        </w:rPr>
      </w:pPr>
      <w:r w:rsidRPr="006737B9">
        <w:rPr>
          <w:rFonts w:ascii="Calibri" w:hAnsi="Calibri"/>
          <w:b/>
          <w:sz w:val="24"/>
          <w:szCs w:val="24"/>
        </w:rPr>
        <w:t xml:space="preserve">Scope </w:t>
      </w:r>
    </w:p>
    <w:p w:rsidR="0027312E" w:rsidRPr="006737B9" w:rsidRDefault="004C2BEE" w:rsidP="006737B9">
      <w:pPr>
        <w:pStyle w:val="DCF1"/>
        <w:jc w:val="both"/>
        <w:rPr>
          <w:rFonts w:ascii="Calibri" w:hAnsi="Calibri"/>
          <w:sz w:val="24"/>
          <w:szCs w:val="24"/>
        </w:rPr>
      </w:pPr>
      <w:r w:rsidRPr="006737B9">
        <w:rPr>
          <w:rFonts w:ascii="Calibri" w:hAnsi="Calibri"/>
          <w:sz w:val="24"/>
          <w:szCs w:val="24"/>
        </w:rPr>
        <w:t>DSGB</w:t>
      </w:r>
      <w:r w:rsidR="001E205D" w:rsidRPr="006737B9">
        <w:rPr>
          <w:rFonts w:ascii="Calibri" w:hAnsi="Calibri"/>
          <w:sz w:val="24"/>
          <w:szCs w:val="24"/>
        </w:rPr>
        <w:t xml:space="preserve"> represents international competitive target shooting sports.</w:t>
      </w:r>
      <w:r w:rsidR="00F57355" w:rsidRPr="006737B9">
        <w:rPr>
          <w:rFonts w:ascii="Calibri" w:hAnsi="Calibri"/>
          <w:sz w:val="24"/>
          <w:szCs w:val="24"/>
        </w:rPr>
        <w:t xml:space="preserve"> </w:t>
      </w:r>
      <w:r w:rsidR="001E205D" w:rsidRPr="006737B9">
        <w:rPr>
          <w:rFonts w:ascii="Calibri" w:hAnsi="Calibri"/>
          <w:sz w:val="24"/>
          <w:szCs w:val="24"/>
        </w:rPr>
        <w:t xml:space="preserve"> </w:t>
      </w:r>
      <w:r w:rsidRPr="006737B9">
        <w:rPr>
          <w:rFonts w:ascii="Calibri" w:hAnsi="Calibri"/>
          <w:sz w:val="24"/>
          <w:szCs w:val="24"/>
        </w:rPr>
        <w:t>DSGB</w:t>
      </w:r>
      <w:r w:rsidR="001E205D" w:rsidRPr="006737B9">
        <w:rPr>
          <w:rFonts w:ascii="Calibri" w:hAnsi="Calibri"/>
          <w:sz w:val="24"/>
          <w:szCs w:val="24"/>
        </w:rPr>
        <w:t xml:space="preserve"> </w:t>
      </w:r>
      <w:r w:rsidRPr="006737B9">
        <w:rPr>
          <w:rFonts w:ascii="Calibri" w:hAnsi="Calibri"/>
          <w:sz w:val="24"/>
          <w:szCs w:val="24"/>
        </w:rPr>
        <w:t>affiliated organisations</w:t>
      </w:r>
      <w:r w:rsidR="001E205D" w:rsidRPr="006737B9">
        <w:rPr>
          <w:rFonts w:ascii="Calibri" w:hAnsi="Calibri"/>
          <w:sz w:val="24"/>
          <w:szCs w:val="24"/>
        </w:rPr>
        <w:t xml:space="preserve"> are encouraged to adopt this policy framework to ensure the sport of shooting is wholly inclusive and transsexual people are welcome in all disciplines.</w:t>
      </w:r>
      <w:r w:rsidR="001E205D" w:rsidRPr="006737B9">
        <w:rPr>
          <w:rFonts w:ascii="Calibri" w:hAnsi="Calibri" w:cs="Helvetica"/>
          <w:sz w:val="24"/>
          <w:szCs w:val="24"/>
          <w:lang w:eastAsia="en-GB"/>
        </w:rPr>
        <w:t xml:space="preserve"> </w:t>
      </w:r>
      <w:r w:rsidR="00F57355" w:rsidRPr="006737B9">
        <w:rPr>
          <w:rFonts w:ascii="Calibri" w:hAnsi="Calibri" w:cs="Helvetica"/>
          <w:sz w:val="24"/>
          <w:szCs w:val="24"/>
          <w:lang w:eastAsia="en-GB"/>
        </w:rPr>
        <w:t xml:space="preserve"> </w:t>
      </w:r>
      <w:r w:rsidR="00352901" w:rsidRPr="006737B9">
        <w:rPr>
          <w:rFonts w:ascii="Calibri" w:hAnsi="Calibri"/>
          <w:sz w:val="24"/>
          <w:szCs w:val="24"/>
        </w:rPr>
        <w:t>This</w:t>
      </w:r>
      <w:r w:rsidR="001E205D" w:rsidRPr="006737B9">
        <w:rPr>
          <w:rFonts w:ascii="Calibri" w:hAnsi="Calibri"/>
          <w:sz w:val="24"/>
          <w:szCs w:val="24"/>
        </w:rPr>
        <w:t xml:space="preserve"> policy covers competitions</w:t>
      </w:r>
      <w:r w:rsidR="00E2209C" w:rsidRPr="006737B9">
        <w:rPr>
          <w:rFonts w:ascii="Calibri" w:hAnsi="Calibri"/>
          <w:sz w:val="24"/>
          <w:szCs w:val="24"/>
        </w:rPr>
        <w:t xml:space="preserve"> which may be</w:t>
      </w:r>
      <w:r w:rsidR="001E205D" w:rsidRPr="006737B9">
        <w:rPr>
          <w:rFonts w:ascii="Calibri" w:hAnsi="Calibri"/>
          <w:sz w:val="24"/>
          <w:szCs w:val="24"/>
        </w:rPr>
        <w:t xml:space="preserve"> run under the auspices of </w:t>
      </w:r>
      <w:r w:rsidRPr="006737B9">
        <w:rPr>
          <w:rFonts w:ascii="Calibri" w:hAnsi="Calibri"/>
          <w:sz w:val="24"/>
          <w:szCs w:val="24"/>
        </w:rPr>
        <w:t>DSGB</w:t>
      </w:r>
      <w:r w:rsidR="001E205D" w:rsidRPr="006737B9">
        <w:rPr>
          <w:rFonts w:ascii="Calibri" w:hAnsi="Calibri"/>
          <w:sz w:val="24"/>
          <w:szCs w:val="24"/>
        </w:rPr>
        <w:t xml:space="preserve"> and run in accordance with its regulations and policies</w:t>
      </w:r>
      <w:r w:rsidR="00E2209C" w:rsidRPr="006737B9">
        <w:rPr>
          <w:rFonts w:ascii="Calibri" w:hAnsi="Calibri"/>
          <w:sz w:val="24"/>
          <w:szCs w:val="24"/>
        </w:rPr>
        <w:t xml:space="preserve"> governed by the International Governing Bodies (IGBs)</w:t>
      </w:r>
      <w:r w:rsidR="001E205D" w:rsidRPr="006737B9">
        <w:rPr>
          <w:rFonts w:ascii="Calibri" w:hAnsi="Calibri"/>
          <w:sz w:val="24"/>
          <w:szCs w:val="24"/>
        </w:rPr>
        <w:t>.</w:t>
      </w:r>
      <w:r w:rsidR="00E2209C" w:rsidRPr="006737B9">
        <w:rPr>
          <w:rFonts w:ascii="Calibri" w:hAnsi="Calibri"/>
          <w:sz w:val="24"/>
          <w:szCs w:val="24"/>
        </w:rPr>
        <w:t xml:space="preserve">  </w:t>
      </w:r>
      <w:r w:rsidR="002954E0" w:rsidRPr="006737B9">
        <w:rPr>
          <w:rFonts w:ascii="Calibri" w:hAnsi="Calibri"/>
          <w:sz w:val="24"/>
          <w:szCs w:val="24"/>
        </w:rPr>
        <w:t xml:space="preserve">Noting the remit of </w:t>
      </w:r>
      <w:r w:rsidRPr="006737B9">
        <w:rPr>
          <w:rFonts w:ascii="Calibri" w:hAnsi="Calibri"/>
          <w:sz w:val="24"/>
          <w:szCs w:val="24"/>
        </w:rPr>
        <w:t>DSGB</w:t>
      </w:r>
      <w:r w:rsidR="00E2209C" w:rsidRPr="006737B9">
        <w:rPr>
          <w:rFonts w:ascii="Calibri" w:hAnsi="Calibri"/>
          <w:sz w:val="24"/>
          <w:szCs w:val="24"/>
        </w:rPr>
        <w:t xml:space="preserve"> </w:t>
      </w:r>
      <w:r w:rsidR="002954E0" w:rsidRPr="006737B9">
        <w:rPr>
          <w:rFonts w:ascii="Calibri" w:hAnsi="Calibri"/>
          <w:sz w:val="24"/>
          <w:szCs w:val="24"/>
        </w:rPr>
        <w:t xml:space="preserve">and its jurisdiction, </w:t>
      </w:r>
      <w:r w:rsidRPr="006737B9">
        <w:rPr>
          <w:rFonts w:ascii="Calibri" w:hAnsi="Calibri"/>
          <w:sz w:val="24"/>
          <w:szCs w:val="24"/>
        </w:rPr>
        <w:t>DSGB</w:t>
      </w:r>
      <w:r w:rsidR="002954E0" w:rsidRPr="006737B9">
        <w:rPr>
          <w:rFonts w:ascii="Calibri" w:hAnsi="Calibri"/>
          <w:sz w:val="24"/>
          <w:szCs w:val="24"/>
        </w:rPr>
        <w:t xml:space="preserve"> </w:t>
      </w:r>
      <w:r w:rsidR="00E2209C" w:rsidRPr="006737B9">
        <w:rPr>
          <w:rFonts w:ascii="Calibri" w:hAnsi="Calibri"/>
          <w:sz w:val="24"/>
          <w:szCs w:val="24"/>
        </w:rPr>
        <w:t xml:space="preserve">encourages </w:t>
      </w:r>
      <w:r w:rsidR="002954E0" w:rsidRPr="006737B9">
        <w:rPr>
          <w:rFonts w:ascii="Calibri" w:hAnsi="Calibri"/>
          <w:sz w:val="24"/>
          <w:szCs w:val="24"/>
        </w:rPr>
        <w:t>its affiliate</w:t>
      </w:r>
      <w:r w:rsidRPr="006737B9">
        <w:rPr>
          <w:rFonts w:ascii="Calibri" w:hAnsi="Calibri"/>
          <w:sz w:val="24"/>
          <w:szCs w:val="24"/>
        </w:rPr>
        <w:t>d</w:t>
      </w:r>
      <w:r w:rsidR="002954E0" w:rsidRPr="006737B9">
        <w:rPr>
          <w:rFonts w:ascii="Calibri" w:hAnsi="Calibri"/>
          <w:sz w:val="24"/>
          <w:szCs w:val="24"/>
        </w:rPr>
        <w:t xml:space="preserve"> </w:t>
      </w:r>
      <w:r w:rsidRPr="006737B9">
        <w:rPr>
          <w:rFonts w:ascii="Calibri" w:hAnsi="Calibri"/>
          <w:sz w:val="24"/>
          <w:szCs w:val="24"/>
        </w:rPr>
        <w:t>organisations</w:t>
      </w:r>
      <w:r w:rsidR="00E2209C" w:rsidRPr="006737B9">
        <w:rPr>
          <w:rFonts w:ascii="Calibri" w:hAnsi="Calibri"/>
          <w:sz w:val="24"/>
          <w:szCs w:val="24"/>
        </w:rPr>
        <w:t xml:space="preserve"> to </w:t>
      </w:r>
      <w:r w:rsidR="0027312E" w:rsidRPr="006737B9">
        <w:rPr>
          <w:rFonts w:ascii="Calibri" w:hAnsi="Calibri"/>
          <w:sz w:val="24"/>
          <w:szCs w:val="24"/>
        </w:rPr>
        <w:t>adopt a level of expectation around events which includes transsexual people at every reasonable opportunity in domestic competitions.</w:t>
      </w:r>
    </w:p>
    <w:p w:rsidR="00352901" w:rsidRDefault="00352901" w:rsidP="006737B9">
      <w:pPr>
        <w:pStyle w:val="DCF1"/>
        <w:jc w:val="both"/>
        <w:rPr>
          <w:rFonts w:ascii="Calibri" w:hAnsi="Calibri"/>
          <w:sz w:val="24"/>
          <w:szCs w:val="24"/>
        </w:rPr>
      </w:pPr>
    </w:p>
    <w:p w:rsidR="00DD7D57" w:rsidRPr="006737B9" w:rsidRDefault="00DD7D57" w:rsidP="006737B9">
      <w:pPr>
        <w:pStyle w:val="DCF1"/>
        <w:jc w:val="both"/>
        <w:rPr>
          <w:rFonts w:ascii="Calibri" w:hAnsi="Calibri"/>
          <w:sz w:val="24"/>
          <w:szCs w:val="24"/>
        </w:rPr>
      </w:pPr>
    </w:p>
    <w:p w:rsidR="00AF37D7" w:rsidRPr="006737B9" w:rsidRDefault="00AF37D7" w:rsidP="006737B9">
      <w:pPr>
        <w:pStyle w:val="DCF1"/>
        <w:jc w:val="both"/>
        <w:rPr>
          <w:rFonts w:ascii="Calibri" w:hAnsi="Calibri"/>
          <w:b/>
          <w:bCs/>
          <w:sz w:val="24"/>
          <w:szCs w:val="24"/>
        </w:rPr>
      </w:pPr>
      <w:r w:rsidRPr="006737B9">
        <w:rPr>
          <w:rFonts w:ascii="Calibri" w:hAnsi="Calibri"/>
          <w:b/>
          <w:bCs/>
          <w:sz w:val="24"/>
          <w:szCs w:val="24"/>
        </w:rPr>
        <w:t>Guidance and Legislation</w:t>
      </w:r>
    </w:p>
    <w:p w:rsidR="00AF37D7" w:rsidRPr="006737B9" w:rsidRDefault="00AF37D7" w:rsidP="006737B9">
      <w:pPr>
        <w:pStyle w:val="DCF1"/>
        <w:jc w:val="both"/>
        <w:rPr>
          <w:rFonts w:ascii="Calibri" w:hAnsi="Calibri"/>
          <w:sz w:val="24"/>
          <w:szCs w:val="24"/>
        </w:rPr>
      </w:pPr>
      <w:r w:rsidRPr="006737B9">
        <w:rPr>
          <w:rFonts w:ascii="Calibri" w:hAnsi="Calibri"/>
          <w:sz w:val="24"/>
          <w:szCs w:val="24"/>
        </w:rPr>
        <w:t>The practices and procedures within this policy and documentation are based on the principles contained within UK legislation and IOC guidance and take t</w:t>
      </w:r>
      <w:r w:rsidR="00B7018D" w:rsidRPr="006737B9">
        <w:rPr>
          <w:rFonts w:ascii="Calibri" w:hAnsi="Calibri"/>
          <w:sz w:val="24"/>
          <w:szCs w:val="24"/>
        </w:rPr>
        <w:t>he following into consideration:</w:t>
      </w:r>
    </w:p>
    <w:p w:rsidR="00AF37D7" w:rsidRPr="006737B9" w:rsidRDefault="00AF37D7" w:rsidP="006737B9">
      <w:pPr>
        <w:pStyle w:val="DCF1"/>
        <w:jc w:val="both"/>
        <w:rPr>
          <w:rFonts w:ascii="Calibri" w:hAnsi="Calibri"/>
          <w:sz w:val="24"/>
          <w:szCs w:val="24"/>
        </w:rPr>
      </w:pPr>
    </w:p>
    <w:p w:rsidR="00AF37D7" w:rsidRPr="006737B9" w:rsidRDefault="008F7F37" w:rsidP="006737B9">
      <w:pPr>
        <w:pStyle w:val="DCF1"/>
        <w:numPr>
          <w:ilvl w:val="0"/>
          <w:numId w:val="14"/>
        </w:numPr>
        <w:jc w:val="both"/>
        <w:rPr>
          <w:rFonts w:ascii="Calibri" w:hAnsi="Calibri"/>
          <w:sz w:val="24"/>
          <w:szCs w:val="24"/>
        </w:rPr>
      </w:pPr>
      <w:r w:rsidRPr="006737B9">
        <w:rPr>
          <w:rFonts w:ascii="Calibri" w:hAnsi="Calibri"/>
          <w:sz w:val="24"/>
          <w:szCs w:val="24"/>
        </w:rPr>
        <w:t>Equality Act 2010</w:t>
      </w:r>
    </w:p>
    <w:p w:rsidR="00AF37D7" w:rsidRPr="006737B9" w:rsidRDefault="00AF37D7" w:rsidP="006737B9">
      <w:pPr>
        <w:pStyle w:val="DCF1"/>
        <w:numPr>
          <w:ilvl w:val="0"/>
          <w:numId w:val="14"/>
        </w:numPr>
        <w:jc w:val="both"/>
        <w:rPr>
          <w:rFonts w:ascii="Calibri" w:hAnsi="Calibri"/>
          <w:sz w:val="24"/>
          <w:szCs w:val="24"/>
        </w:rPr>
      </w:pPr>
      <w:r w:rsidRPr="006737B9">
        <w:rPr>
          <w:rFonts w:ascii="Calibri" w:hAnsi="Calibri"/>
          <w:sz w:val="24"/>
          <w:szCs w:val="24"/>
        </w:rPr>
        <w:t>IOC Guidance on Sex Reassignment 2004</w:t>
      </w:r>
    </w:p>
    <w:p w:rsidR="00AF37D7" w:rsidRPr="006737B9" w:rsidRDefault="008F7F37" w:rsidP="006737B9">
      <w:pPr>
        <w:pStyle w:val="DCF1"/>
        <w:numPr>
          <w:ilvl w:val="0"/>
          <w:numId w:val="14"/>
        </w:numPr>
        <w:jc w:val="both"/>
        <w:rPr>
          <w:rFonts w:ascii="Calibri" w:hAnsi="Calibri"/>
          <w:sz w:val="24"/>
          <w:szCs w:val="24"/>
        </w:rPr>
      </w:pPr>
      <w:r w:rsidRPr="006737B9">
        <w:rPr>
          <w:rFonts w:ascii="Calibri" w:hAnsi="Calibri"/>
          <w:sz w:val="24"/>
          <w:szCs w:val="24"/>
        </w:rPr>
        <w:t>Data Protection Act 1998</w:t>
      </w:r>
    </w:p>
    <w:p w:rsidR="00AF37D7" w:rsidRPr="006737B9" w:rsidRDefault="00AF37D7" w:rsidP="006737B9">
      <w:pPr>
        <w:pStyle w:val="DCF1"/>
        <w:numPr>
          <w:ilvl w:val="0"/>
          <w:numId w:val="14"/>
        </w:numPr>
        <w:jc w:val="both"/>
        <w:rPr>
          <w:rFonts w:ascii="Calibri" w:hAnsi="Calibri"/>
          <w:b/>
          <w:sz w:val="24"/>
          <w:szCs w:val="24"/>
        </w:rPr>
      </w:pPr>
      <w:r w:rsidRPr="006737B9">
        <w:rPr>
          <w:rFonts w:ascii="Calibri" w:hAnsi="Calibri"/>
          <w:sz w:val="24"/>
          <w:szCs w:val="24"/>
        </w:rPr>
        <w:t>Gender Recognition Act 2004.</w:t>
      </w:r>
    </w:p>
    <w:p w:rsidR="00352901" w:rsidRDefault="00352901" w:rsidP="006737B9">
      <w:pPr>
        <w:pStyle w:val="DCF1"/>
        <w:jc w:val="both"/>
        <w:rPr>
          <w:rFonts w:ascii="Calibri" w:hAnsi="Calibri"/>
          <w:b/>
          <w:sz w:val="24"/>
          <w:szCs w:val="24"/>
        </w:rPr>
      </w:pPr>
    </w:p>
    <w:p w:rsidR="00DD7D57" w:rsidRPr="006737B9" w:rsidRDefault="00DD7D57" w:rsidP="006737B9">
      <w:pPr>
        <w:pStyle w:val="DCF1"/>
        <w:jc w:val="both"/>
        <w:rPr>
          <w:rFonts w:ascii="Calibri" w:hAnsi="Calibri"/>
          <w:b/>
          <w:sz w:val="24"/>
          <w:szCs w:val="24"/>
        </w:rPr>
      </w:pPr>
    </w:p>
    <w:p w:rsidR="00BF5F1C" w:rsidRPr="006737B9" w:rsidRDefault="00BF5F1C" w:rsidP="006737B9">
      <w:pPr>
        <w:pStyle w:val="DCF1"/>
        <w:jc w:val="both"/>
        <w:rPr>
          <w:rFonts w:ascii="Calibri" w:hAnsi="Calibri"/>
          <w:b/>
          <w:sz w:val="24"/>
          <w:szCs w:val="24"/>
        </w:rPr>
      </w:pPr>
      <w:r w:rsidRPr="006737B9">
        <w:rPr>
          <w:rFonts w:ascii="Calibri" w:hAnsi="Calibri"/>
          <w:b/>
          <w:sz w:val="24"/>
          <w:szCs w:val="24"/>
        </w:rPr>
        <w:t>International Representation</w:t>
      </w:r>
      <w:r w:rsidR="00A60659" w:rsidRPr="006737B9">
        <w:rPr>
          <w:rFonts w:ascii="Calibri" w:hAnsi="Calibri"/>
          <w:b/>
          <w:sz w:val="24"/>
          <w:szCs w:val="24"/>
        </w:rPr>
        <w:t xml:space="preserve"> and Olympic Competition </w:t>
      </w:r>
    </w:p>
    <w:p w:rsidR="00BF5F1C" w:rsidRPr="006737B9" w:rsidRDefault="00821EE7" w:rsidP="006737B9">
      <w:pPr>
        <w:pStyle w:val="DCF1"/>
        <w:jc w:val="both"/>
        <w:rPr>
          <w:rFonts w:ascii="Calibri" w:hAnsi="Calibri"/>
          <w:sz w:val="24"/>
          <w:szCs w:val="24"/>
        </w:rPr>
      </w:pPr>
      <w:r w:rsidRPr="006737B9">
        <w:rPr>
          <w:rFonts w:ascii="Calibri" w:hAnsi="Calibri"/>
          <w:sz w:val="24"/>
          <w:szCs w:val="24"/>
        </w:rPr>
        <w:t xml:space="preserve">Athletes funded via </w:t>
      </w:r>
      <w:r w:rsidR="004C2BEE" w:rsidRPr="006737B9">
        <w:rPr>
          <w:rFonts w:ascii="Calibri" w:hAnsi="Calibri"/>
          <w:sz w:val="24"/>
          <w:szCs w:val="24"/>
        </w:rPr>
        <w:t>DSGB</w:t>
      </w:r>
      <w:r w:rsidRPr="006737B9">
        <w:rPr>
          <w:rFonts w:ascii="Calibri" w:hAnsi="Calibri"/>
          <w:sz w:val="24"/>
          <w:szCs w:val="24"/>
        </w:rPr>
        <w:t xml:space="preserve"> to compete or potentially compete in events governed by </w:t>
      </w:r>
      <w:r w:rsidR="006F2513" w:rsidRPr="006737B9">
        <w:rPr>
          <w:rFonts w:ascii="Calibri" w:hAnsi="Calibri"/>
          <w:sz w:val="24"/>
          <w:szCs w:val="24"/>
        </w:rPr>
        <w:t xml:space="preserve">the </w:t>
      </w:r>
      <w:r w:rsidR="004C2BEE" w:rsidRPr="006737B9">
        <w:rPr>
          <w:rFonts w:ascii="Calibri" w:hAnsi="Calibri"/>
          <w:sz w:val="24"/>
          <w:szCs w:val="24"/>
        </w:rPr>
        <w:t xml:space="preserve">International Paralympic Committee (IPC), </w:t>
      </w:r>
      <w:r w:rsidR="006F2513" w:rsidRPr="006737B9">
        <w:rPr>
          <w:rFonts w:ascii="Calibri" w:hAnsi="Calibri"/>
          <w:sz w:val="24"/>
          <w:szCs w:val="24"/>
        </w:rPr>
        <w:t>I</w:t>
      </w:r>
      <w:r w:rsidR="008F7F37" w:rsidRPr="006737B9">
        <w:rPr>
          <w:rFonts w:ascii="Calibri" w:hAnsi="Calibri"/>
          <w:sz w:val="24"/>
          <w:szCs w:val="24"/>
        </w:rPr>
        <w:t xml:space="preserve">nternational </w:t>
      </w:r>
      <w:r w:rsidR="006F2513" w:rsidRPr="006737B9">
        <w:rPr>
          <w:rFonts w:ascii="Calibri" w:hAnsi="Calibri"/>
          <w:sz w:val="24"/>
          <w:szCs w:val="24"/>
        </w:rPr>
        <w:t>S</w:t>
      </w:r>
      <w:r w:rsidR="008F7F37" w:rsidRPr="006737B9">
        <w:rPr>
          <w:rFonts w:ascii="Calibri" w:hAnsi="Calibri"/>
          <w:sz w:val="24"/>
          <w:szCs w:val="24"/>
        </w:rPr>
        <w:t xml:space="preserve">hooting </w:t>
      </w:r>
      <w:r w:rsidR="006F2513" w:rsidRPr="006737B9">
        <w:rPr>
          <w:rFonts w:ascii="Calibri" w:hAnsi="Calibri"/>
          <w:sz w:val="24"/>
          <w:szCs w:val="24"/>
        </w:rPr>
        <w:t>S</w:t>
      </w:r>
      <w:r w:rsidR="008F7F37" w:rsidRPr="006737B9">
        <w:rPr>
          <w:rFonts w:ascii="Calibri" w:hAnsi="Calibri"/>
          <w:sz w:val="24"/>
          <w:szCs w:val="24"/>
        </w:rPr>
        <w:t xml:space="preserve">port </w:t>
      </w:r>
      <w:r w:rsidR="006F2513" w:rsidRPr="006737B9">
        <w:rPr>
          <w:rFonts w:ascii="Calibri" w:hAnsi="Calibri"/>
          <w:sz w:val="24"/>
          <w:szCs w:val="24"/>
        </w:rPr>
        <w:t>F</w:t>
      </w:r>
      <w:r w:rsidR="008F7F37" w:rsidRPr="006737B9">
        <w:rPr>
          <w:rFonts w:ascii="Calibri" w:hAnsi="Calibri"/>
          <w:sz w:val="24"/>
          <w:szCs w:val="24"/>
        </w:rPr>
        <w:t>ederation</w:t>
      </w:r>
      <w:r w:rsidR="006F2513" w:rsidRPr="006737B9">
        <w:rPr>
          <w:rFonts w:ascii="Calibri" w:hAnsi="Calibri"/>
          <w:sz w:val="24"/>
          <w:szCs w:val="24"/>
        </w:rPr>
        <w:t xml:space="preserve"> </w:t>
      </w:r>
      <w:r w:rsidR="008F7F37" w:rsidRPr="006737B9">
        <w:rPr>
          <w:rFonts w:ascii="Calibri" w:hAnsi="Calibri"/>
          <w:sz w:val="24"/>
          <w:szCs w:val="24"/>
        </w:rPr>
        <w:t xml:space="preserve">(ISSF) </w:t>
      </w:r>
      <w:r w:rsidR="006F2513" w:rsidRPr="006737B9">
        <w:rPr>
          <w:rFonts w:ascii="Calibri" w:hAnsi="Calibri"/>
          <w:sz w:val="24"/>
          <w:szCs w:val="24"/>
        </w:rPr>
        <w:t xml:space="preserve">and </w:t>
      </w:r>
      <w:r w:rsidRPr="006737B9">
        <w:rPr>
          <w:rFonts w:ascii="Calibri" w:hAnsi="Calibri"/>
          <w:sz w:val="24"/>
          <w:szCs w:val="24"/>
        </w:rPr>
        <w:t>I</w:t>
      </w:r>
      <w:r w:rsidR="008F7F37" w:rsidRPr="006737B9">
        <w:rPr>
          <w:rFonts w:ascii="Calibri" w:hAnsi="Calibri"/>
          <w:sz w:val="24"/>
          <w:szCs w:val="24"/>
        </w:rPr>
        <w:t xml:space="preserve">nternational </w:t>
      </w:r>
      <w:r w:rsidRPr="006737B9">
        <w:rPr>
          <w:rFonts w:ascii="Calibri" w:hAnsi="Calibri"/>
          <w:sz w:val="24"/>
          <w:szCs w:val="24"/>
        </w:rPr>
        <w:t>O</w:t>
      </w:r>
      <w:r w:rsidR="008F7F37" w:rsidRPr="006737B9">
        <w:rPr>
          <w:rFonts w:ascii="Calibri" w:hAnsi="Calibri"/>
          <w:sz w:val="24"/>
          <w:szCs w:val="24"/>
        </w:rPr>
        <w:t xml:space="preserve">lympic </w:t>
      </w:r>
      <w:r w:rsidRPr="006737B9">
        <w:rPr>
          <w:rFonts w:ascii="Calibri" w:hAnsi="Calibri"/>
          <w:sz w:val="24"/>
          <w:szCs w:val="24"/>
        </w:rPr>
        <w:t>C</w:t>
      </w:r>
      <w:r w:rsidR="008F7F37" w:rsidRPr="006737B9">
        <w:rPr>
          <w:rFonts w:ascii="Calibri" w:hAnsi="Calibri"/>
          <w:sz w:val="24"/>
          <w:szCs w:val="24"/>
        </w:rPr>
        <w:t>ommittee (IOC)</w:t>
      </w:r>
      <w:r w:rsidRPr="006737B9">
        <w:rPr>
          <w:rFonts w:ascii="Calibri" w:hAnsi="Calibri"/>
          <w:sz w:val="24"/>
          <w:szCs w:val="24"/>
        </w:rPr>
        <w:t xml:space="preserve"> must comply </w:t>
      </w:r>
      <w:r w:rsidR="008F3805" w:rsidRPr="006737B9">
        <w:rPr>
          <w:rFonts w:ascii="Calibri" w:hAnsi="Calibri"/>
          <w:sz w:val="24"/>
          <w:szCs w:val="24"/>
        </w:rPr>
        <w:t>with</w:t>
      </w:r>
      <w:r w:rsidR="00B62DD6" w:rsidRPr="006737B9">
        <w:rPr>
          <w:rFonts w:ascii="Calibri" w:hAnsi="Calibri"/>
          <w:sz w:val="24"/>
          <w:szCs w:val="24"/>
        </w:rPr>
        <w:t>, and qualify under,</w:t>
      </w:r>
      <w:r w:rsidRPr="006737B9">
        <w:rPr>
          <w:rFonts w:ascii="Calibri" w:hAnsi="Calibri"/>
          <w:sz w:val="24"/>
          <w:szCs w:val="24"/>
        </w:rPr>
        <w:t xml:space="preserve"> the IOC current Gender Reassignment </w:t>
      </w:r>
      <w:r w:rsidR="00BF5F1C" w:rsidRPr="006737B9">
        <w:rPr>
          <w:rFonts w:ascii="Calibri" w:hAnsi="Calibri"/>
          <w:sz w:val="24"/>
          <w:szCs w:val="24"/>
        </w:rPr>
        <w:t>guidelines</w:t>
      </w:r>
      <w:r w:rsidR="008F3805" w:rsidRPr="006737B9">
        <w:rPr>
          <w:rFonts w:ascii="Calibri" w:hAnsi="Calibri"/>
          <w:sz w:val="24"/>
          <w:szCs w:val="24"/>
        </w:rPr>
        <w:t>.</w:t>
      </w:r>
      <w:r w:rsidR="00B7018D" w:rsidRPr="006737B9">
        <w:rPr>
          <w:rFonts w:ascii="Calibri" w:hAnsi="Calibri"/>
          <w:sz w:val="24"/>
          <w:szCs w:val="24"/>
        </w:rPr>
        <w:t xml:space="preserve"> </w:t>
      </w:r>
      <w:r w:rsidRPr="006737B9">
        <w:rPr>
          <w:rFonts w:ascii="Calibri" w:hAnsi="Calibri"/>
          <w:sz w:val="24"/>
          <w:szCs w:val="24"/>
        </w:rPr>
        <w:t xml:space="preserve"> </w:t>
      </w:r>
      <w:r w:rsidR="00BF5F1C" w:rsidRPr="006737B9">
        <w:rPr>
          <w:rFonts w:ascii="Calibri" w:hAnsi="Calibri"/>
          <w:sz w:val="24"/>
          <w:szCs w:val="24"/>
        </w:rPr>
        <w:t xml:space="preserve">The </w:t>
      </w:r>
      <w:r w:rsidR="004C2BEE" w:rsidRPr="006737B9">
        <w:rPr>
          <w:rFonts w:ascii="Calibri" w:hAnsi="Calibri"/>
          <w:sz w:val="24"/>
          <w:szCs w:val="24"/>
        </w:rPr>
        <w:t xml:space="preserve">IPC and </w:t>
      </w:r>
      <w:r w:rsidR="00BF5F1C" w:rsidRPr="006737B9">
        <w:rPr>
          <w:rFonts w:ascii="Calibri" w:hAnsi="Calibri"/>
          <w:sz w:val="24"/>
          <w:szCs w:val="24"/>
        </w:rPr>
        <w:t xml:space="preserve">ISSF follow the </w:t>
      </w:r>
      <w:r w:rsidR="008F7F37" w:rsidRPr="006737B9">
        <w:rPr>
          <w:rFonts w:ascii="Calibri" w:hAnsi="Calibri"/>
          <w:sz w:val="24"/>
          <w:szCs w:val="24"/>
        </w:rPr>
        <w:t xml:space="preserve">IOC </w:t>
      </w:r>
      <w:r w:rsidR="00BF5F1C" w:rsidRPr="006737B9">
        <w:rPr>
          <w:rFonts w:ascii="Calibri" w:hAnsi="Calibri"/>
          <w:sz w:val="24"/>
          <w:szCs w:val="24"/>
        </w:rPr>
        <w:t>guidelines</w:t>
      </w:r>
      <w:r w:rsidR="008F7F37" w:rsidRPr="006737B9">
        <w:rPr>
          <w:rFonts w:ascii="Calibri" w:hAnsi="Calibri"/>
          <w:sz w:val="24"/>
          <w:szCs w:val="24"/>
        </w:rPr>
        <w:t xml:space="preserve"> which are set out in the </w:t>
      </w:r>
      <w:r w:rsidR="00BF5F1C" w:rsidRPr="006737B9">
        <w:rPr>
          <w:rFonts w:ascii="Calibri" w:hAnsi="Calibri"/>
          <w:i/>
          <w:sz w:val="24"/>
          <w:szCs w:val="24"/>
        </w:rPr>
        <w:t>Stockholm consensus on sex reassignment in sports.</w:t>
      </w:r>
      <w:r w:rsidR="00B7018D" w:rsidRPr="006737B9">
        <w:rPr>
          <w:rFonts w:ascii="Calibri" w:hAnsi="Calibri"/>
          <w:i/>
          <w:sz w:val="24"/>
          <w:szCs w:val="24"/>
        </w:rPr>
        <w:t xml:space="preserve"> </w:t>
      </w:r>
      <w:r w:rsidR="00DA58BE" w:rsidRPr="006737B9">
        <w:rPr>
          <w:rFonts w:ascii="Calibri" w:hAnsi="Calibri"/>
          <w:i/>
          <w:sz w:val="24"/>
          <w:szCs w:val="24"/>
        </w:rPr>
        <w:t xml:space="preserve"> </w:t>
      </w:r>
      <w:r w:rsidR="00DA58BE" w:rsidRPr="006737B9">
        <w:rPr>
          <w:rFonts w:ascii="Calibri" w:hAnsi="Calibri"/>
          <w:sz w:val="24"/>
          <w:szCs w:val="24"/>
        </w:rPr>
        <w:t>The phrase ‘sex reassignment’ used by the IOC has the same meaning as ‘gender reassignment</w:t>
      </w:r>
      <w:r w:rsidR="00B7018D" w:rsidRPr="006737B9">
        <w:rPr>
          <w:rFonts w:ascii="Calibri" w:hAnsi="Calibri"/>
          <w:sz w:val="24"/>
          <w:szCs w:val="24"/>
        </w:rPr>
        <w:t>’</w:t>
      </w:r>
      <w:r w:rsidR="00DA58BE" w:rsidRPr="006737B9">
        <w:rPr>
          <w:rFonts w:ascii="Calibri" w:hAnsi="Calibri"/>
          <w:sz w:val="24"/>
          <w:szCs w:val="24"/>
        </w:rPr>
        <w:t xml:space="preserve"> used in the UK</w:t>
      </w:r>
    </w:p>
    <w:p w:rsidR="002C6BB4" w:rsidRPr="006737B9" w:rsidRDefault="002C6BB4" w:rsidP="006737B9">
      <w:pPr>
        <w:pStyle w:val="DCF1"/>
        <w:jc w:val="both"/>
        <w:rPr>
          <w:rFonts w:ascii="Calibri" w:hAnsi="Calibri"/>
          <w:b/>
          <w:sz w:val="24"/>
          <w:szCs w:val="24"/>
        </w:rPr>
      </w:pPr>
    </w:p>
    <w:p w:rsidR="00BF5F1C" w:rsidRPr="006737B9" w:rsidRDefault="00282098" w:rsidP="006737B9">
      <w:pPr>
        <w:pStyle w:val="DCF1"/>
        <w:jc w:val="both"/>
        <w:rPr>
          <w:rFonts w:ascii="Calibri" w:hAnsi="Calibri"/>
          <w:b/>
          <w:sz w:val="24"/>
          <w:szCs w:val="24"/>
        </w:rPr>
      </w:pPr>
      <w:r w:rsidRPr="006737B9">
        <w:rPr>
          <w:rFonts w:ascii="Calibri" w:hAnsi="Calibri"/>
          <w:b/>
          <w:sz w:val="24"/>
          <w:szCs w:val="24"/>
        </w:rPr>
        <w:t xml:space="preserve">The Stockholm Consensus </w:t>
      </w:r>
    </w:p>
    <w:p w:rsidR="00BF5F1C" w:rsidRPr="006737B9" w:rsidRDefault="00282098" w:rsidP="006737B9">
      <w:pPr>
        <w:pStyle w:val="DCF1"/>
        <w:jc w:val="both"/>
        <w:rPr>
          <w:rFonts w:ascii="Calibri" w:hAnsi="Calibri"/>
          <w:sz w:val="24"/>
          <w:szCs w:val="24"/>
        </w:rPr>
      </w:pPr>
      <w:r w:rsidRPr="006737B9">
        <w:rPr>
          <w:rFonts w:ascii="Calibri" w:hAnsi="Calibri"/>
          <w:sz w:val="24"/>
          <w:szCs w:val="24"/>
        </w:rPr>
        <w:t xml:space="preserve">In May 2004 the International Olympic Committee (IOC) announced the conditions under which transsexual athletes may compete in sports competitions. This announcement follows a period of consideration and consultation carried out by an ad hoc committee convened by the IOC Medical Commission. These conditions were applied as of the Athens Olympics in 2004: </w:t>
      </w:r>
    </w:p>
    <w:p w:rsidR="00282098" w:rsidRPr="006737B9" w:rsidRDefault="00282098" w:rsidP="006737B9">
      <w:pPr>
        <w:pStyle w:val="DCF1"/>
        <w:numPr>
          <w:ilvl w:val="0"/>
          <w:numId w:val="7"/>
        </w:numPr>
        <w:jc w:val="both"/>
        <w:rPr>
          <w:rFonts w:ascii="Calibri" w:hAnsi="Calibri"/>
          <w:sz w:val="24"/>
          <w:szCs w:val="24"/>
        </w:rPr>
      </w:pPr>
      <w:r w:rsidRPr="006737B9">
        <w:rPr>
          <w:rFonts w:ascii="Calibri" w:hAnsi="Calibri"/>
          <w:sz w:val="24"/>
          <w:szCs w:val="24"/>
        </w:rPr>
        <w:t xml:space="preserve">Any transsexual women who underwent sex reassignment surgery before puberty should be accepted in sport as girls and women (female). </w:t>
      </w:r>
      <w:r w:rsidR="00B7018D" w:rsidRPr="006737B9">
        <w:rPr>
          <w:rFonts w:ascii="Calibri" w:hAnsi="Calibri"/>
          <w:sz w:val="24"/>
          <w:szCs w:val="24"/>
        </w:rPr>
        <w:t xml:space="preserve"> </w:t>
      </w:r>
      <w:r w:rsidRPr="006737B9">
        <w:rPr>
          <w:rFonts w:ascii="Calibri" w:hAnsi="Calibri"/>
          <w:sz w:val="24"/>
          <w:szCs w:val="24"/>
        </w:rPr>
        <w:t>This also applies to individuals undergoing female-to-male reassignment, who should be regarded as boys and men (male).</w:t>
      </w:r>
    </w:p>
    <w:p w:rsidR="00282098" w:rsidRPr="006737B9" w:rsidRDefault="00282098" w:rsidP="006737B9">
      <w:pPr>
        <w:pStyle w:val="DCF1"/>
        <w:numPr>
          <w:ilvl w:val="0"/>
          <w:numId w:val="7"/>
        </w:numPr>
        <w:jc w:val="both"/>
        <w:rPr>
          <w:rFonts w:ascii="Calibri" w:hAnsi="Calibri"/>
          <w:sz w:val="24"/>
          <w:szCs w:val="24"/>
        </w:rPr>
      </w:pPr>
      <w:r w:rsidRPr="006737B9">
        <w:rPr>
          <w:rFonts w:ascii="Calibri" w:hAnsi="Calibri"/>
          <w:sz w:val="24"/>
          <w:szCs w:val="24"/>
        </w:rPr>
        <w:t>Individuals undergoing sex reassignment after puberty be eligible for participation in the acquired gender under the following conditions</w:t>
      </w:r>
    </w:p>
    <w:p w:rsidR="00BF5F1C" w:rsidRPr="006737B9" w:rsidRDefault="00BF5F1C" w:rsidP="006737B9">
      <w:pPr>
        <w:pStyle w:val="DCF1"/>
        <w:numPr>
          <w:ilvl w:val="1"/>
          <w:numId w:val="7"/>
        </w:numPr>
        <w:jc w:val="both"/>
        <w:rPr>
          <w:rFonts w:ascii="Calibri" w:hAnsi="Calibri"/>
          <w:sz w:val="24"/>
          <w:szCs w:val="24"/>
        </w:rPr>
      </w:pPr>
      <w:r w:rsidRPr="006737B9">
        <w:rPr>
          <w:rFonts w:ascii="Calibri" w:hAnsi="Calibri"/>
          <w:sz w:val="24"/>
          <w:szCs w:val="24"/>
        </w:rPr>
        <w:t>Surgical anatomical changes have been completed, including external genitalia changes and gonadectomy</w:t>
      </w:r>
    </w:p>
    <w:p w:rsidR="00BF5F1C" w:rsidRPr="006737B9" w:rsidRDefault="00BF5F1C" w:rsidP="006737B9">
      <w:pPr>
        <w:pStyle w:val="DCF1"/>
        <w:numPr>
          <w:ilvl w:val="1"/>
          <w:numId w:val="7"/>
        </w:numPr>
        <w:jc w:val="both"/>
        <w:rPr>
          <w:rFonts w:ascii="Calibri" w:hAnsi="Calibri"/>
          <w:sz w:val="24"/>
          <w:szCs w:val="24"/>
        </w:rPr>
      </w:pPr>
      <w:r w:rsidRPr="006737B9">
        <w:rPr>
          <w:rFonts w:ascii="Calibri" w:hAnsi="Calibri"/>
          <w:sz w:val="24"/>
          <w:szCs w:val="24"/>
        </w:rPr>
        <w:t>Legal recognition of their assigned sex has been conferred by the appropriate official authorities</w:t>
      </w:r>
    </w:p>
    <w:p w:rsidR="00BF5F1C" w:rsidRPr="006737B9" w:rsidRDefault="00BF5F1C" w:rsidP="006737B9">
      <w:pPr>
        <w:pStyle w:val="DCF1"/>
        <w:numPr>
          <w:ilvl w:val="1"/>
          <w:numId w:val="7"/>
        </w:numPr>
        <w:jc w:val="both"/>
        <w:rPr>
          <w:rFonts w:ascii="Calibri" w:hAnsi="Calibri"/>
          <w:sz w:val="24"/>
          <w:szCs w:val="24"/>
        </w:rPr>
      </w:pPr>
      <w:r w:rsidRPr="006737B9">
        <w:rPr>
          <w:rFonts w:ascii="Calibri" w:hAnsi="Calibri"/>
          <w:sz w:val="24"/>
          <w:szCs w:val="24"/>
        </w:rPr>
        <w:t>Hormone therapy appropriate for the assigned sex has been administered in a verifiable manner and for a sufficient length of time to minimise gender-related advantages in sport competitions.</w:t>
      </w:r>
    </w:p>
    <w:p w:rsidR="00BF5F1C" w:rsidRPr="006737B9" w:rsidRDefault="00BF5F1C" w:rsidP="006737B9">
      <w:pPr>
        <w:pStyle w:val="DCF1"/>
        <w:jc w:val="both"/>
        <w:rPr>
          <w:rFonts w:ascii="Calibri" w:hAnsi="Calibri"/>
          <w:sz w:val="24"/>
          <w:szCs w:val="24"/>
        </w:rPr>
      </w:pPr>
    </w:p>
    <w:p w:rsidR="00BF5F1C" w:rsidRPr="006737B9" w:rsidRDefault="00BF5F1C" w:rsidP="006737B9">
      <w:pPr>
        <w:pStyle w:val="DCF1"/>
        <w:jc w:val="both"/>
        <w:rPr>
          <w:rFonts w:ascii="Calibri" w:hAnsi="Calibri"/>
          <w:sz w:val="24"/>
          <w:szCs w:val="24"/>
        </w:rPr>
      </w:pPr>
      <w:r w:rsidRPr="006737B9">
        <w:rPr>
          <w:rFonts w:ascii="Calibri" w:hAnsi="Calibri"/>
          <w:sz w:val="24"/>
          <w:szCs w:val="24"/>
        </w:rPr>
        <w:t xml:space="preserve">In the opinion of the group, eligibility should begin no sooner than two years after gonadectomy. It is understood that a confidential case-by-case evaluation will occur. </w:t>
      </w:r>
      <w:r w:rsidR="00B7018D" w:rsidRPr="006737B9">
        <w:rPr>
          <w:rFonts w:ascii="Calibri" w:hAnsi="Calibri"/>
          <w:sz w:val="24"/>
          <w:szCs w:val="24"/>
        </w:rPr>
        <w:t xml:space="preserve"> </w:t>
      </w:r>
      <w:r w:rsidRPr="006737B9">
        <w:rPr>
          <w:rFonts w:ascii="Calibri" w:hAnsi="Calibri"/>
          <w:sz w:val="24"/>
          <w:szCs w:val="24"/>
        </w:rPr>
        <w:t>In the event that the gender of a competing athlete is questioned, the medical delegate (or equivalent) of the relevant sporting body shall have the authority to take all appropriate measures for the determination of the gender of a competitor.</w:t>
      </w:r>
    </w:p>
    <w:p w:rsidR="00BF5F1C" w:rsidRPr="006737B9" w:rsidRDefault="00BF5F1C" w:rsidP="006737B9">
      <w:pPr>
        <w:pStyle w:val="DCF1"/>
        <w:jc w:val="both"/>
        <w:rPr>
          <w:rFonts w:ascii="Calibri" w:hAnsi="Calibri"/>
          <w:sz w:val="24"/>
          <w:szCs w:val="24"/>
        </w:rPr>
      </w:pPr>
    </w:p>
    <w:p w:rsidR="00BF5F1C" w:rsidRPr="006737B9" w:rsidRDefault="00BF5F1C" w:rsidP="006737B9">
      <w:pPr>
        <w:pStyle w:val="DCF1"/>
        <w:jc w:val="both"/>
        <w:rPr>
          <w:rFonts w:ascii="Calibri" w:hAnsi="Calibri"/>
          <w:sz w:val="24"/>
          <w:szCs w:val="24"/>
        </w:rPr>
      </w:pPr>
      <w:r w:rsidRPr="006737B9">
        <w:rPr>
          <w:rFonts w:ascii="Calibri" w:hAnsi="Calibri"/>
          <w:sz w:val="24"/>
          <w:szCs w:val="24"/>
        </w:rPr>
        <w:t xml:space="preserve">Many international federations have overtly adopted the IOC guidance with regards to transsexual athletes and their status in international competitions. </w:t>
      </w:r>
      <w:r w:rsidR="00B7018D" w:rsidRPr="006737B9">
        <w:rPr>
          <w:rFonts w:ascii="Calibri" w:hAnsi="Calibri"/>
          <w:sz w:val="24"/>
          <w:szCs w:val="24"/>
        </w:rPr>
        <w:t xml:space="preserve"> </w:t>
      </w:r>
      <w:r w:rsidRPr="006737B9">
        <w:rPr>
          <w:rFonts w:ascii="Calibri" w:hAnsi="Calibri"/>
          <w:sz w:val="24"/>
          <w:szCs w:val="24"/>
        </w:rPr>
        <w:t>The</w:t>
      </w:r>
      <w:r w:rsidR="00967886" w:rsidRPr="006737B9">
        <w:rPr>
          <w:rFonts w:ascii="Calibri" w:hAnsi="Calibri"/>
          <w:sz w:val="24"/>
          <w:szCs w:val="24"/>
        </w:rPr>
        <w:t xml:space="preserve"> International Paralympic Committee</w:t>
      </w:r>
      <w:r w:rsidRPr="006737B9">
        <w:rPr>
          <w:rFonts w:ascii="Calibri" w:hAnsi="Calibri"/>
          <w:sz w:val="24"/>
          <w:szCs w:val="24"/>
        </w:rPr>
        <w:t xml:space="preserve"> </w:t>
      </w:r>
      <w:r w:rsidR="00967886" w:rsidRPr="006737B9">
        <w:rPr>
          <w:rFonts w:ascii="Calibri" w:hAnsi="Calibri"/>
          <w:sz w:val="24"/>
          <w:szCs w:val="24"/>
        </w:rPr>
        <w:t>(</w:t>
      </w:r>
      <w:r w:rsidRPr="006737B9">
        <w:rPr>
          <w:rFonts w:ascii="Calibri" w:hAnsi="Calibri"/>
          <w:sz w:val="24"/>
          <w:szCs w:val="24"/>
        </w:rPr>
        <w:t>IPC</w:t>
      </w:r>
      <w:r w:rsidR="00967886" w:rsidRPr="006737B9">
        <w:rPr>
          <w:rFonts w:ascii="Calibri" w:hAnsi="Calibri"/>
          <w:sz w:val="24"/>
          <w:szCs w:val="24"/>
        </w:rPr>
        <w:t>)</w:t>
      </w:r>
      <w:r w:rsidRPr="006737B9">
        <w:rPr>
          <w:rFonts w:ascii="Calibri" w:hAnsi="Calibri"/>
          <w:sz w:val="24"/>
          <w:szCs w:val="24"/>
        </w:rPr>
        <w:t xml:space="preserve"> does not have a stated policy on transsexual people and sport.</w:t>
      </w:r>
    </w:p>
    <w:p w:rsidR="00821EE7" w:rsidRDefault="00821EE7" w:rsidP="006737B9">
      <w:pPr>
        <w:pStyle w:val="DCF1"/>
        <w:jc w:val="both"/>
        <w:rPr>
          <w:rFonts w:ascii="Calibri" w:hAnsi="Calibri"/>
          <w:b/>
          <w:sz w:val="24"/>
          <w:szCs w:val="24"/>
        </w:rPr>
      </w:pPr>
    </w:p>
    <w:p w:rsidR="00DD7D57" w:rsidRPr="006737B9" w:rsidRDefault="00DD7D57" w:rsidP="006737B9">
      <w:pPr>
        <w:pStyle w:val="DCF1"/>
        <w:jc w:val="both"/>
        <w:rPr>
          <w:rFonts w:ascii="Calibri" w:hAnsi="Calibri"/>
          <w:b/>
          <w:sz w:val="24"/>
          <w:szCs w:val="24"/>
        </w:rPr>
      </w:pPr>
    </w:p>
    <w:p w:rsidR="00626F1F" w:rsidRPr="006737B9" w:rsidRDefault="00626F1F" w:rsidP="006737B9">
      <w:pPr>
        <w:pStyle w:val="DCF1"/>
        <w:jc w:val="both"/>
        <w:rPr>
          <w:rFonts w:ascii="Calibri" w:hAnsi="Calibri"/>
          <w:b/>
          <w:bCs/>
          <w:sz w:val="24"/>
          <w:szCs w:val="24"/>
        </w:rPr>
      </w:pPr>
      <w:r w:rsidRPr="006737B9">
        <w:rPr>
          <w:rFonts w:ascii="Calibri" w:hAnsi="Calibri"/>
          <w:b/>
          <w:bCs/>
          <w:sz w:val="24"/>
          <w:szCs w:val="24"/>
        </w:rPr>
        <w:t>Domestic Competition</w:t>
      </w:r>
    </w:p>
    <w:p w:rsidR="00626F1F" w:rsidRPr="006737B9" w:rsidRDefault="00626F1F" w:rsidP="006737B9">
      <w:pPr>
        <w:pStyle w:val="DCF1"/>
        <w:jc w:val="both"/>
        <w:rPr>
          <w:rFonts w:ascii="Calibri" w:hAnsi="Calibri"/>
          <w:bCs/>
          <w:sz w:val="24"/>
          <w:szCs w:val="24"/>
        </w:rPr>
      </w:pPr>
      <w:r w:rsidRPr="006737B9">
        <w:rPr>
          <w:rFonts w:ascii="Calibri" w:hAnsi="Calibri"/>
          <w:bCs/>
          <w:sz w:val="24"/>
          <w:szCs w:val="24"/>
        </w:rPr>
        <w:t>A transsexual person may compete in domestic competition</w:t>
      </w:r>
      <w:r w:rsidR="00F14555" w:rsidRPr="006737B9">
        <w:rPr>
          <w:rFonts w:ascii="Calibri" w:hAnsi="Calibri"/>
          <w:bCs/>
          <w:sz w:val="24"/>
          <w:szCs w:val="24"/>
        </w:rPr>
        <w:t xml:space="preserve">, where IOC restrictions do not apply, </w:t>
      </w:r>
      <w:r w:rsidRPr="006737B9">
        <w:rPr>
          <w:rFonts w:ascii="Calibri" w:hAnsi="Calibri"/>
          <w:bCs/>
          <w:sz w:val="24"/>
          <w:szCs w:val="24"/>
        </w:rPr>
        <w:t>under the following conditions:</w:t>
      </w:r>
    </w:p>
    <w:p w:rsidR="00A32389" w:rsidRPr="006737B9" w:rsidRDefault="00A32389" w:rsidP="006737B9">
      <w:pPr>
        <w:pStyle w:val="DCF1"/>
        <w:jc w:val="both"/>
        <w:rPr>
          <w:rFonts w:ascii="Calibri" w:hAnsi="Calibri"/>
          <w:b/>
          <w:bCs/>
          <w:sz w:val="24"/>
          <w:szCs w:val="24"/>
        </w:rPr>
      </w:pPr>
    </w:p>
    <w:p w:rsidR="00A32389" w:rsidRPr="006737B9" w:rsidRDefault="00A32389" w:rsidP="006737B9">
      <w:pPr>
        <w:pStyle w:val="DCF1"/>
        <w:jc w:val="both"/>
        <w:rPr>
          <w:rFonts w:ascii="Calibri" w:hAnsi="Calibri"/>
          <w:bCs/>
          <w:sz w:val="24"/>
          <w:szCs w:val="24"/>
          <w:u w:val="single"/>
        </w:rPr>
      </w:pPr>
      <w:r w:rsidRPr="006737B9">
        <w:rPr>
          <w:rFonts w:ascii="Calibri" w:hAnsi="Calibri"/>
          <w:bCs/>
          <w:sz w:val="24"/>
          <w:szCs w:val="24"/>
          <w:u w:val="single"/>
        </w:rPr>
        <w:t>Any transsexual male (female to‐male transsexual person)</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May compete in his affirmed gender in any male or mixed sex domestic competition</w:t>
      </w:r>
    </w:p>
    <w:p w:rsidR="00A32389" w:rsidRPr="006737B9" w:rsidRDefault="00A32389" w:rsidP="006737B9">
      <w:pPr>
        <w:pStyle w:val="DCF1"/>
        <w:jc w:val="both"/>
        <w:rPr>
          <w:rFonts w:ascii="Calibri" w:hAnsi="Calibri"/>
          <w:b/>
          <w:bCs/>
          <w:sz w:val="24"/>
          <w:szCs w:val="24"/>
        </w:rPr>
      </w:pPr>
    </w:p>
    <w:p w:rsidR="00A32389" w:rsidRPr="006737B9" w:rsidRDefault="00A32389" w:rsidP="006737B9">
      <w:pPr>
        <w:pStyle w:val="DCF1"/>
        <w:jc w:val="both"/>
        <w:rPr>
          <w:rFonts w:ascii="Calibri" w:hAnsi="Calibri"/>
          <w:bCs/>
          <w:sz w:val="24"/>
          <w:szCs w:val="24"/>
          <w:u w:val="single"/>
        </w:rPr>
      </w:pPr>
      <w:r w:rsidRPr="006737B9">
        <w:rPr>
          <w:rFonts w:ascii="Calibri" w:hAnsi="Calibri"/>
          <w:bCs/>
          <w:sz w:val="24"/>
          <w:szCs w:val="24"/>
          <w:u w:val="single"/>
        </w:rPr>
        <w:t>Transsexual woman – over 16 and post‐puberty (male‐to female transsexual person)</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May compete in her affirmed gender in female or mixed‐sex domestic competition by providing evidence that her hormone therapy has brought her blood‐measured testosterone levels within the range of her affirmed gender</w:t>
      </w:r>
      <w:r w:rsidR="0077447C" w:rsidRPr="006737B9">
        <w:rPr>
          <w:rFonts w:ascii="Calibri" w:hAnsi="Calibri"/>
          <w:bCs/>
          <w:sz w:val="24"/>
          <w:szCs w:val="24"/>
        </w:rPr>
        <w:t xml:space="preserve"> </w:t>
      </w:r>
      <w:r w:rsidRPr="006737B9">
        <w:rPr>
          <w:rFonts w:ascii="Calibri" w:hAnsi="Calibri"/>
          <w:bCs/>
          <w:sz w:val="24"/>
          <w:szCs w:val="24"/>
        </w:rPr>
        <w:t>or that she has had a gonadectomy.</w:t>
      </w:r>
    </w:p>
    <w:p w:rsidR="00A32389" w:rsidRPr="006737B9" w:rsidRDefault="00A32389" w:rsidP="006737B9">
      <w:pPr>
        <w:pStyle w:val="DCF1"/>
        <w:jc w:val="both"/>
        <w:rPr>
          <w:rFonts w:ascii="Calibri" w:hAnsi="Calibri"/>
          <w:b/>
          <w:bCs/>
          <w:i/>
          <w:sz w:val="24"/>
          <w:szCs w:val="24"/>
        </w:rPr>
      </w:pPr>
      <w:r w:rsidRPr="006737B9">
        <w:rPr>
          <w:rFonts w:ascii="Calibri" w:hAnsi="Calibri"/>
          <w:b/>
          <w:bCs/>
          <w:i/>
          <w:sz w:val="24"/>
          <w:szCs w:val="24"/>
        </w:rPr>
        <w:t>Or</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She may compete in any male or mixed‐sex competition if she has not started hormone treatment</w:t>
      </w:r>
    </w:p>
    <w:p w:rsidR="00A32389" w:rsidRPr="006737B9" w:rsidRDefault="00A32389" w:rsidP="006737B9">
      <w:pPr>
        <w:pStyle w:val="DCF1"/>
        <w:jc w:val="both"/>
        <w:rPr>
          <w:rFonts w:ascii="Calibri" w:hAnsi="Calibri"/>
          <w:b/>
          <w:bCs/>
          <w:sz w:val="24"/>
          <w:szCs w:val="24"/>
        </w:rPr>
      </w:pPr>
    </w:p>
    <w:p w:rsidR="00A32389" w:rsidRPr="006737B9" w:rsidRDefault="00A32389" w:rsidP="006737B9">
      <w:pPr>
        <w:pStyle w:val="DCF1"/>
        <w:jc w:val="both"/>
        <w:rPr>
          <w:rFonts w:ascii="Calibri" w:hAnsi="Calibri"/>
          <w:bCs/>
          <w:sz w:val="24"/>
          <w:szCs w:val="24"/>
          <w:u w:val="single"/>
        </w:rPr>
      </w:pPr>
      <w:r w:rsidRPr="006737B9">
        <w:rPr>
          <w:rFonts w:ascii="Calibri" w:hAnsi="Calibri"/>
          <w:bCs/>
          <w:sz w:val="24"/>
          <w:szCs w:val="24"/>
          <w:u w:val="single"/>
        </w:rPr>
        <w:t>Transsexual girl – under 16 and post‐puberty</w:t>
      </w:r>
    </w:p>
    <w:p w:rsidR="00A32389" w:rsidRPr="006737B9" w:rsidRDefault="00A32389" w:rsidP="006737B9">
      <w:pPr>
        <w:pStyle w:val="DCF1"/>
        <w:jc w:val="both"/>
        <w:rPr>
          <w:rFonts w:ascii="Calibri" w:hAnsi="Calibri"/>
          <w:b/>
          <w:bCs/>
          <w:i/>
          <w:iCs/>
          <w:sz w:val="24"/>
          <w:szCs w:val="24"/>
        </w:rPr>
      </w:pPr>
      <w:r w:rsidRPr="006737B9">
        <w:rPr>
          <w:rFonts w:ascii="Calibri" w:hAnsi="Calibri"/>
          <w:b/>
          <w:bCs/>
          <w:i/>
          <w:iCs/>
          <w:sz w:val="24"/>
          <w:szCs w:val="24"/>
        </w:rPr>
        <w:t>Either</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She may compete in her affirmed gender in any female or mixed‐sex domestic competition subject to an individual case‐by‐case review, if required, undertaken by the relevant governing body.</w:t>
      </w:r>
    </w:p>
    <w:p w:rsidR="00F57355" w:rsidRDefault="00F57355" w:rsidP="006737B9">
      <w:pPr>
        <w:pStyle w:val="DCF1"/>
        <w:jc w:val="both"/>
        <w:rPr>
          <w:rFonts w:ascii="Calibri" w:hAnsi="Calibri"/>
          <w:bCs/>
          <w:sz w:val="24"/>
          <w:szCs w:val="24"/>
        </w:rPr>
      </w:pPr>
    </w:p>
    <w:p w:rsidR="00DD7D57" w:rsidRDefault="00DD7D57" w:rsidP="006737B9">
      <w:pPr>
        <w:pStyle w:val="DCF1"/>
        <w:jc w:val="both"/>
        <w:rPr>
          <w:rFonts w:ascii="Calibri" w:hAnsi="Calibri"/>
          <w:bCs/>
          <w:sz w:val="24"/>
          <w:szCs w:val="24"/>
        </w:rPr>
      </w:pPr>
    </w:p>
    <w:p w:rsidR="00DD7D57" w:rsidRPr="006737B9" w:rsidRDefault="00DD7D57" w:rsidP="006737B9">
      <w:pPr>
        <w:pStyle w:val="DCF1"/>
        <w:jc w:val="both"/>
        <w:rPr>
          <w:rFonts w:ascii="Calibri" w:hAnsi="Calibri"/>
          <w:bCs/>
          <w:sz w:val="24"/>
          <w:szCs w:val="24"/>
        </w:rPr>
      </w:pPr>
    </w:p>
    <w:p w:rsidR="00A32389" w:rsidRPr="006737B9" w:rsidRDefault="00A32389" w:rsidP="006737B9">
      <w:pPr>
        <w:pStyle w:val="DCF1"/>
        <w:jc w:val="both"/>
        <w:rPr>
          <w:rFonts w:ascii="Calibri" w:hAnsi="Calibri"/>
          <w:b/>
          <w:bCs/>
          <w:i/>
          <w:sz w:val="24"/>
          <w:szCs w:val="24"/>
        </w:rPr>
      </w:pPr>
      <w:r w:rsidRPr="006737B9">
        <w:rPr>
          <w:rFonts w:ascii="Calibri" w:hAnsi="Calibri"/>
          <w:b/>
          <w:bCs/>
          <w:i/>
          <w:sz w:val="24"/>
          <w:szCs w:val="24"/>
        </w:rPr>
        <w:t>Or</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She may compete in any male or mixed‐sex competition if she has not started hormone treatment nor had a gonadectomy.</w:t>
      </w:r>
    </w:p>
    <w:p w:rsidR="00B7018D" w:rsidRPr="006737B9" w:rsidRDefault="00B7018D" w:rsidP="006737B9">
      <w:pPr>
        <w:pStyle w:val="DCF1"/>
        <w:jc w:val="both"/>
        <w:rPr>
          <w:rFonts w:ascii="Calibri" w:hAnsi="Calibri"/>
          <w:bCs/>
          <w:sz w:val="24"/>
          <w:szCs w:val="24"/>
        </w:rPr>
      </w:pPr>
    </w:p>
    <w:p w:rsidR="00A32389" w:rsidRPr="006737B9" w:rsidRDefault="00A32389" w:rsidP="006737B9">
      <w:pPr>
        <w:pStyle w:val="DCF1"/>
        <w:jc w:val="both"/>
        <w:rPr>
          <w:rFonts w:ascii="Calibri" w:hAnsi="Calibri"/>
          <w:bCs/>
          <w:sz w:val="24"/>
          <w:szCs w:val="24"/>
          <w:u w:val="single"/>
        </w:rPr>
      </w:pPr>
      <w:r w:rsidRPr="006737B9">
        <w:rPr>
          <w:rFonts w:ascii="Calibri" w:hAnsi="Calibri"/>
          <w:bCs/>
          <w:sz w:val="24"/>
          <w:szCs w:val="24"/>
          <w:u w:val="single"/>
        </w:rPr>
        <w:t xml:space="preserve">Transsexual girl – pre‐puberty </w:t>
      </w:r>
    </w:p>
    <w:p w:rsidR="00A32389" w:rsidRPr="006737B9" w:rsidRDefault="00A32389" w:rsidP="006737B9">
      <w:pPr>
        <w:pStyle w:val="DCF1"/>
        <w:jc w:val="both"/>
        <w:rPr>
          <w:rFonts w:ascii="Calibri" w:hAnsi="Calibri"/>
          <w:bCs/>
          <w:sz w:val="24"/>
          <w:szCs w:val="24"/>
        </w:rPr>
      </w:pPr>
      <w:r w:rsidRPr="006737B9">
        <w:rPr>
          <w:rFonts w:ascii="Calibri" w:hAnsi="Calibri"/>
          <w:bCs/>
          <w:sz w:val="24"/>
          <w:szCs w:val="24"/>
        </w:rPr>
        <w:t>May compete in her affirmed gender in any female or mixed‐sex domestic competition subject to confirmation of her stage of pubertal development.</w:t>
      </w:r>
    </w:p>
    <w:p w:rsidR="00993D8F" w:rsidRPr="006737B9" w:rsidRDefault="008C1082" w:rsidP="006737B9">
      <w:pPr>
        <w:pStyle w:val="DCF1"/>
        <w:jc w:val="both"/>
        <w:rPr>
          <w:rFonts w:ascii="Calibri" w:hAnsi="Calibri"/>
          <w:b/>
          <w:sz w:val="24"/>
          <w:szCs w:val="24"/>
        </w:rPr>
      </w:pPr>
      <w:r w:rsidRPr="006737B9">
        <w:rPr>
          <w:rFonts w:ascii="Calibri" w:hAnsi="Calibri"/>
          <w:b/>
          <w:sz w:val="24"/>
          <w:szCs w:val="24"/>
        </w:rPr>
        <w:t xml:space="preserve">Roles and Responsibilities </w:t>
      </w:r>
    </w:p>
    <w:p w:rsidR="00626F1F" w:rsidRPr="006737B9" w:rsidRDefault="00993D8F" w:rsidP="006737B9">
      <w:pPr>
        <w:pStyle w:val="DCF1"/>
        <w:jc w:val="both"/>
        <w:rPr>
          <w:rFonts w:ascii="Calibri" w:hAnsi="Calibri"/>
          <w:sz w:val="24"/>
          <w:szCs w:val="24"/>
        </w:rPr>
      </w:pPr>
      <w:r w:rsidRPr="006737B9">
        <w:rPr>
          <w:rFonts w:ascii="Calibri" w:hAnsi="Calibri"/>
          <w:sz w:val="24"/>
          <w:szCs w:val="24"/>
        </w:rPr>
        <w:t xml:space="preserve">The </w:t>
      </w:r>
      <w:r w:rsidR="004C2BEE" w:rsidRPr="006737B9">
        <w:rPr>
          <w:rFonts w:ascii="Calibri" w:hAnsi="Calibri"/>
          <w:sz w:val="24"/>
          <w:szCs w:val="24"/>
        </w:rPr>
        <w:t>D</w:t>
      </w:r>
      <w:r w:rsidR="007766DC" w:rsidRPr="006737B9">
        <w:rPr>
          <w:rFonts w:ascii="Calibri" w:hAnsi="Calibri"/>
          <w:sz w:val="24"/>
          <w:szCs w:val="24"/>
        </w:rPr>
        <w:t>isability Shooting Great Britain Ltd.</w:t>
      </w:r>
      <w:r w:rsidR="006737B9" w:rsidRPr="006737B9" w:rsidDel="00891760">
        <w:rPr>
          <w:rFonts w:ascii="Calibri" w:hAnsi="Calibri"/>
          <w:sz w:val="24"/>
          <w:szCs w:val="24"/>
        </w:rPr>
        <w:t xml:space="preserve"> </w:t>
      </w:r>
      <w:r w:rsidRPr="006737B9">
        <w:rPr>
          <w:rFonts w:ascii="Calibri" w:hAnsi="Calibri"/>
          <w:sz w:val="24"/>
          <w:szCs w:val="24"/>
        </w:rPr>
        <w:t xml:space="preserve">is accountable for the adoption, implementation and monitoring of this policy. </w:t>
      </w:r>
      <w:r w:rsidR="00B7018D" w:rsidRPr="006737B9">
        <w:rPr>
          <w:rFonts w:ascii="Calibri" w:hAnsi="Calibri"/>
          <w:sz w:val="24"/>
          <w:szCs w:val="24"/>
        </w:rPr>
        <w:t xml:space="preserve"> </w:t>
      </w:r>
      <w:r w:rsidRPr="006737B9">
        <w:rPr>
          <w:rFonts w:ascii="Calibri" w:hAnsi="Calibri"/>
          <w:sz w:val="24"/>
          <w:szCs w:val="24"/>
        </w:rPr>
        <w:t xml:space="preserve">Day to day management will be the responsibility of </w:t>
      </w:r>
      <w:r w:rsidR="00C04FF9" w:rsidRPr="006737B9">
        <w:rPr>
          <w:rFonts w:ascii="Calibri" w:hAnsi="Calibri"/>
          <w:sz w:val="24"/>
          <w:szCs w:val="24"/>
        </w:rPr>
        <w:t>the Safeguarding Officer (SO)</w:t>
      </w:r>
      <w:r w:rsidR="00626F1F" w:rsidRPr="006737B9">
        <w:rPr>
          <w:rFonts w:ascii="Calibri" w:hAnsi="Calibri"/>
          <w:sz w:val="24"/>
          <w:szCs w:val="24"/>
        </w:rPr>
        <w:t xml:space="preserve"> at </w:t>
      </w:r>
      <w:r w:rsidR="004C2BEE" w:rsidRPr="006737B9">
        <w:rPr>
          <w:rFonts w:ascii="Calibri" w:hAnsi="Calibri"/>
          <w:sz w:val="24"/>
          <w:szCs w:val="24"/>
        </w:rPr>
        <w:t>DSGB</w:t>
      </w:r>
      <w:r w:rsidR="00C04FF9" w:rsidRPr="006737B9">
        <w:rPr>
          <w:rFonts w:ascii="Calibri" w:hAnsi="Calibri"/>
          <w:sz w:val="24"/>
          <w:szCs w:val="24"/>
        </w:rPr>
        <w:t xml:space="preserve"> </w:t>
      </w:r>
      <w:r w:rsidR="00626F1F" w:rsidRPr="006737B9">
        <w:rPr>
          <w:rFonts w:ascii="Calibri" w:hAnsi="Calibri"/>
          <w:sz w:val="24"/>
          <w:szCs w:val="24"/>
        </w:rPr>
        <w:t>who has sufficient seniority and knowledge of the issue to manage it appropriately.</w:t>
      </w:r>
    </w:p>
    <w:p w:rsidR="008C1082" w:rsidRPr="006737B9" w:rsidRDefault="008C1082" w:rsidP="006737B9">
      <w:pPr>
        <w:pStyle w:val="DCF1"/>
        <w:jc w:val="both"/>
        <w:rPr>
          <w:rFonts w:ascii="Calibri" w:hAnsi="Calibri"/>
          <w:sz w:val="24"/>
          <w:szCs w:val="24"/>
        </w:rPr>
      </w:pPr>
    </w:p>
    <w:p w:rsidR="008C1082" w:rsidRPr="006737B9" w:rsidRDefault="008C1082" w:rsidP="006737B9">
      <w:pPr>
        <w:pStyle w:val="DCF1"/>
        <w:jc w:val="both"/>
        <w:rPr>
          <w:rFonts w:ascii="Calibri" w:hAnsi="Calibri"/>
          <w:sz w:val="24"/>
          <w:szCs w:val="24"/>
        </w:rPr>
      </w:pPr>
      <w:r w:rsidRPr="006737B9">
        <w:rPr>
          <w:rFonts w:ascii="Calibri" w:hAnsi="Calibri"/>
          <w:sz w:val="24"/>
          <w:szCs w:val="24"/>
        </w:rPr>
        <w:t>Clubs and event organisers</w:t>
      </w:r>
      <w:r w:rsidR="00262B41" w:rsidRPr="006737B9">
        <w:rPr>
          <w:rFonts w:ascii="Calibri" w:hAnsi="Calibri"/>
          <w:sz w:val="24"/>
          <w:szCs w:val="24"/>
        </w:rPr>
        <w:t xml:space="preserve">, when dealing with a request from a transsexual person to compete, </w:t>
      </w:r>
      <w:r w:rsidRPr="006737B9">
        <w:rPr>
          <w:rFonts w:ascii="Calibri" w:hAnsi="Calibri"/>
          <w:sz w:val="24"/>
          <w:szCs w:val="24"/>
        </w:rPr>
        <w:t>will</w:t>
      </w:r>
      <w:r w:rsidR="002734CC" w:rsidRPr="006737B9">
        <w:rPr>
          <w:rFonts w:ascii="Calibri" w:hAnsi="Calibri"/>
          <w:sz w:val="24"/>
          <w:szCs w:val="24"/>
        </w:rPr>
        <w:t xml:space="preserve"> be expected to</w:t>
      </w:r>
      <w:r w:rsidRPr="006737B9">
        <w:rPr>
          <w:rFonts w:ascii="Calibri" w:hAnsi="Calibri"/>
          <w:sz w:val="24"/>
          <w:szCs w:val="24"/>
        </w:rPr>
        <w:t>:</w:t>
      </w:r>
    </w:p>
    <w:p w:rsidR="008C1082" w:rsidRPr="006737B9" w:rsidRDefault="008C1082" w:rsidP="006737B9">
      <w:pPr>
        <w:pStyle w:val="DCF1"/>
        <w:numPr>
          <w:ilvl w:val="0"/>
          <w:numId w:val="12"/>
        </w:numPr>
        <w:jc w:val="both"/>
        <w:rPr>
          <w:rFonts w:ascii="Calibri" w:hAnsi="Calibri"/>
          <w:sz w:val="24"/>
          <w:szCs w:val="24"/>
        </w:rPr>
      </w:pPr>
      <w:r w:rsidRPr="006737B9">
        <w:rPr>
          <w:rFonts w:ascii="Calibri" w:hAnsi="Calibri"/>
          <w:sz w:val="24"/>
          <w:szCs w:val="24"/>
        </w:rPr>
        <w:t>Treat the indi</w:t>
      </w:r>
      <w:r w:rsidR="00262B41" w:rsidRPr="006737B9">
        <w:rPr>
          <w:rFonts w:ascii="Calibri" w:hAnsi="Calibri"/>
          <w:sz w:val="24"/>
          <w:szCs w:val="24"/>
        </w:rPr>
        <w:t>vidual with dignity and respect</w:t>
      </w:r>
      <w:r w:rsidR="00B7018D" w:rsidRPr="006737B9">
        <w:rPr>
          <w:rFonts w:ascii="Calibri" w:hAnsi="Calibri"/>
          <w:sz w:val="24"/>
          <w:szCs w:val="24"/>
        </w:rPr>
        <w:t>.</w:t>
      </w:r>
    </w:p>
    <w:p w:rsidR="008C1082" w:rsidRPr="006737B9" w:rsidRDefault="008C1082" w:rsidP="006737B9">
      <w:pPr>
        <w:pStyle w:val="DCF1"/>
        <w:numPr>
          <w:ilvl w:val="0"/>
          <w:numId w:val="12"/>
        </w:numPr>
        <w:jc w:val="both"/>
        <w:rPr>
          <w:rFonts w:ascii="Calibri" w:hAnsi="Calibri"/>
          <w:sz w:val="24"/>
          <w:szCs w:val="24"/>
        </w:rPr>
      </w:pPr>
      <w:r w:rsidRPr="006737B9">
        <w:rPr>
          <w:rFonts w:ascii="Calibri" w:hAnsi="Calibri"/>
          <w:sz w:val="24"/>
          <w:szCs w:val="24"/>
        </w:rPr>
        <w:t xml:space="preserve">Explain the NGB policy and procedure and ask their view on how to proceed. </w:t>
      </w:r>
      <w:r w:rsidR="00B7018D" w:rsidRPr="006737B9">
        <w:rPr>
          <w:rFonts w:ascii="Calibri" w:hAnsi="Calibri"/>
          <w:sz w:val="24"/>
          <w:szCs w:val="24"/>
        </w:rPr>
        <w:t xml:space="preserve"> </w:t>
      </w:r>
      <w:r w:rsidRPr="006737B9">
        <w:rPr>
          <w:rFonts w:ascii="Calibri" w:hAnsi="Calibri"/>
          <w:sz w:val="24"/>
          <w:szCs w:val="24"/>
        </w:rPr>
        <w:t>Provide con</w:t>
      </w:r>
      <w:r w:rsidR="00262B41" w:rsidRPr="006737B9">
        <w:rPr>
          <w:rFonts w:ascii="Calibri" w:hAnsi="Calibri"/>
          <w:sz w:val="24"/>
          <w:szCs w:val="24"/>
        </w:rPr>
        <w:t>tact details of the NGB contact</w:t>
      </w:r>
      <w:r w:rsidR="00B7018D" w:rsidRPr="006737B9">
        <w:rPr>
          <w:rFonts w:ascii="Calibri" w:hAnsi="Calibri"/>
          <w:sz w:val="24"/>
          <w:szCs w:val="24"/>
        </w:rPr>
        <w:t>.</w:t>
      </w:r>
    </w:p>
    <w:p w:rsidR="008C1082" w:rsidRPr="006737B9" w:rsidRDefault="008C1082" w:rsidP="006737B9">
      <w:pPr>
        <w:pStyle w:val="DCF1"/>
        <w:numPr>
          <w:ilvl w:val="0"/>
          <w:numId w:val="12"/>
        </w:numPr>
        <w:jc w:val="both"/>
        <w:rPr>
          <w:rFonts w:ascii="Calibri" w:hAnsi="Calibri"/>
          <w:sz w:val="24"/>
          <w:szCs w:val="24"/>
        </w:rPr>
      </w:pPr>
      <w:r w:rsidRPr="006737B9">
        <w:rPr>
          <w:rFonts w:ascii="Calibri" w:hAnsi="Calibri"/>
          <w:sz w:val="24"/>
          <w:szCs w:val="24"/>
        </w:rPr>
        <w:t xml:space="preserve">Respect the private and confidential nature of the individual’s </w:t>
      </w:r>
      <w:r w:rsidR="00262B41" w:rsidRPr="006737B9">
        <w:rPr>
          <w:rFonts w:ascii="Calibri" w:hAnsi="Calibri"/>
          <w:sz w:val="24"/>
          <w:szCs w:val="24"/>
        </w:rPr>
        <w:t>situation</w:t>
      </w:r>
      <w:r w:rsidR="00B7018D" w:rsidRPr="006737B9">
        <w:rPr>
          <w:rFonts w:ascii="Calibri" w:hAnsi="Calibri"/>
          <w:sz w:val="24"/>
          <w:szCs w:val="24"/>
        </w:rPr>
        <w:t>.</w:t>
      </w:r>
    </w:p>
    <w:p w:rsidR="008C1082" w:rsidRPr="006737B9" w:rsidRDefault="008C1082" w:rsidP="006737B9">
      <w:pPr>
        <w:pStyle w:val="DCF1"/>
        <w:numPr>
          <w:ilvl w:val="0"/>
          <w:numId w:val="12"/>
        </w:numPr>
        <w:jc w:val="both"/>
        <w:rPr>
          <w:rFonts w:ascii="Calibri" w:hAnsi="Calibri"/>
          <w:sz w:val="24"/>
          <w:szCs w:val="24"/>
        </w:rPr>
      </w:pPr>
      <w:r w:rsidRPr="006737B9">
        <w:rPr>
          <w:rFonts w:ascii="Calibri" w:hAnsi="Calibri"/>
          <w:sz w:val="24"/>
          <w:szCs w:val="24"/>
        </w:rPr>
        <w:t>Agree with the individual what information is to be shared with others and if this is necessary how it should be shared.</w:t>
      </w:r>
      <w:r w:rsidR="00B7018D" w:rsidRPr="006737B9">
        <w:rPr>
          <w:rFonts w:ascii="Calibri" w:hAnsi="Calibri"/>
          <w:sz w:val="24"/>
          <w:szCs w:val="24"/>
        </w:rPr>
        <w:t xml:space="preserve"> </w:t>
      </w:r>
      <w:r w:rsidRPr="006737B9">
        <w:rPr>
          <w:rFonts w:ascii="Calibri" w:hAnsi="Calibri"/>
          <w:sz w:val="24"/>
          <w:szCs w:val="24"/>
        </w:rPr>
        <w:t xml:space="preserve"> In general no information should be shared by the local official unless they have express permission from </w:t>
      </w:r>
      <w:r w:rsidR="00B7018D" w:rsidRPr="006737B9">
        <w:rPr>
          <w:rFonts w:ascii="Calibri" w:hAnsi="Calibri"/>
          <w:sz w:val="24"/>
          <w:szCs w:val="24"/>
        </w:rPr>
        <w:t>the transsexual.</w:t>
      </w:r>
    </w:p>
    <w:p w:rsidR="008C1082" w:rsidRPr="006737B9" w:rsidRDefault="008C1082" w:rsidP="006737B9">
      <w:pPr>
        <w:pStyle w:val="DCF1"/>
        <w:numPr>
          <w:ilvl w:val="0"/>
          <w:numId w:val="12"/>
        </w:numPr>
        <w:jc w:val="both"/>
        <w:rPr>
          <w:rFonts w:ascii="Calibri" w:hAnsi="Calibri"/>
          <w:sz w:val="24"/>
          <w:szCs w:val="24"/>
        </w:rPr>
      </w:pPr>
      <w:r w:rsidRPr="006737B9">
        <w:rPr>
          <w:rFonts w:ascii="Calibri" w:hAnsi="Calibri"/>
          <w:sz w:val="24"/>
          <w:szCs w:val="24"/>
        </w:rPr>
        <w:t xml:space="preserve">Ask the individual what communal changing facilities they would prefer to use as not every changing facility will have private cubicles. </w:t>
      </w:r>
      <w:r w:rsidR="00B7018D" w:rsidRPr="006737B9">
        <w:rPr>
          <w:rFonts w:ascii="Calibri" w:hAnsi="Calibri"/>
          <w:sz w:val="24"/>
          <w:szCs w:val="24"/>
        </w:rPr>
        <w:t xml:space="preserve"> </w:t>
      </w:r>
      <w:r w:rsidRPr="006737B9">
        <w:rPr>
          <w:rFonts w:ascii="Calibri" w:hAnsi="Calibri"/>
          <w:sz w:val="24"/>
          <w:szCs w:val="24"/>
        </w:rPr>
        <w:t>This will depend on whether the individual has transitioned or is in the process of transitioning and whether they have undergone any gender reassignment surgery.</w:t>
      </w:r>
      <w:r w:rsidR="00B7018D" w:rsidRPr="006737B9">
        <w:rPr>
          <w:rFonts w:ascii="Calibri" w:hAnsi="Calibri"/>
          <w:sz w:val="24"/>
          <w:szCs w:val="24"/>
        </w:rPr>
        <w:t xml:space="preserve"> </w:t>
      </w:r>
      <w:r w:rsidRPr="006737B9">
        <w:rPr>
          <w:rFonts w:ascii="Calibri" w:hAnsi="Calibri"/>
          <w:sz w:val="24"/>
          <w:szCs w:val="24"/>
        </w:rPr>
        <w:t xml:space="preserve"> It may be that the most appropriate option is to use the cubicles in the toilets appropriate to their full‐time gender‐role or arrive changed and ready to participate to avoid any misunderstanding should they still have the secondary sex characteristics of their former gender. </w:t>
      </w:r>
      <w:r w:rsidR="00B7018D" w:rsidRPr="006737B9">
        <w:rPr>
          <w:rFonts w:ascii="Calibri" w:hAnsi="Calibri"/>
          <w:sz w:val="24"/>
          <w:szCs w:val="24"/>
        </w:rPr>
        <w:t xml:space="preserve"> </w:t>
      </w:r>
      <w:r w:rsidRPr="006737B9">
        <w:rPr>
          <w:rFonts w:ascii="Calibri" w:hAnsi="Calibri"/>
          <w:sz w:val="24"/>
          <w:szCs w:val="24"/>
        </w:rPr>
        <w:t>In line with good safeguarding practice the governing body should recommend that adults (unless they are the parents) do not use the same changing facilities as children under the age of 18 unless there are separate cubicles.</w:t>
      </w:r>
    </w:p>
    <w:p w:rsidR="008C1082" w:rsidRPr="006737B9" w:rsidRDefault="008C1082" w:rsidP="006737B9">
      <w:pPr>
        <w:pStyle w:val="DCF1"/>
        <w:numPr>
          <w:ilvl w:val="0"/>
          <w:numId w:val="10"/>
        </w:numPr>
        <w:jc w:val="both"/>
        <w:rPr>
          <w:rFonts w:ascii="Calibri" w:hAnsi="Calibri"/>
          <w:sz w:val="24"/>
          <w:szCs w:val="24"/>
        </w:rPr>
      </w:pPr>
      <w:r w:rsidRPr="006737B9">
        <w:rPr>
          <w:rFonts w:ascii="Calibri" w:hAnsi="Calibri"/>
          <w:sz w:val="24"/>
          <w:szCs w:val="24"/>
        </w:rPr>
        <w:t>Encourage the individual to feedback any inappropriate language or behaviour from other members or spectators so that it can be dealt with.</w:t>
      </w:r>
    </w:p>
    <w:p w:rsidR="005D068E" w:rsidRPr="006737B9" w:rsidRDefault="008C1082" w:rsidP="005D068E">
      <w:pPr>
        <w:pStyle w:val="DCF1"/>
        <w:numPr>
          <w:ilvl w:val="0"/>
          <w:numId w:val="10"/>
        </w:numPr>
        <w:jc w:val="both"/>
        <w:rPr>
          <w:rFonts w:ascii="Calibri" w:hAnsi="Calibri"/>
          <w:sz w:val="24"/>
          <w:szCs w:val="24"/>
        </w:rPr>
      </w:pPr>
      <w:r w:rsidRPr="005D068E">
        <w:rPr>
          <w:rFonts w:ascii="Calibri" w:hAnsi="Calibri"/>
          <w:sz w:val="24"/>
          <w:szCs w:val="24"/>
        </w:rPr>
        <w:t>Ensure a Code of Conduct is publicised indicating their zero tolerance policy towards all bullying/harassment of people with protected characteristics.</w:t>
      </w:r>
      <w:r w:rsidR="005D068E" w:rsidRPr="005D068E">
        <w:rPr>
          <w:rFonts w:ascii="Calibri" w:hAnsi="Calibri"/>
          <w:sz w:val="24"/>
          <w:szCs w:val="24"/>
        </w:rPr>
        <w:t xml:space="preserve">  </w:t>
      </w:r>
      <w:r w:rsidR="005D068E">
        <w:rPr>
          <w:rFonts w:ascii="Calibri" w:hAnsi="Calibri"/>
          <w:sz w:val="24"/>
          <w:szCs w:val="24"/>
        </w:rPr>
        <w:t>See Equality Policy and</w:t>
      </w:r>
      <w:r w:rsidR="00784B5C">
        <w:rPr>
          <w:rFonts w:ascii="Calibri" w:hAnsi="Calibri"/>
          <w:sz w:val="24"/>
          <w:szCs w:val="24"/>
        </w:rPr>
        <w:t xml:space="preserve"> Bullying and Harassment Policy:  </w:t>
      </w:r>
      <w:r w:rsidR="00784B5C" w:rsidRPr="00784B5C">
        <w:rPr>
          <w:rFonts w:ascii="Calibri" w:hAnsi="Calibri"/>
          <w:sz w:val="24"/>
          <w:szCs w:val="24"/>
        </w:rPr>
        <w:t>http://www.disabilityshooting-gb.org/structure/</w:t>
      </w:r>
    </w:p>
    <w:p w:rsidR="008C1082" w:rsidRDefault="008C1082" w:rsidP="00DD7D57">
      <w:pPr>
        <w:pStyle w:val="DCF1"/>
        <w:ind w:left="720"/>
        <w:jc w:val="both"/>
        <w:rPr>
          <w:rFonts w:ascii="Calibri" w:hAnsi="Calibri"/>
          <w:sz w:val="24"/>
          <w:szCs w:val="24"/>
        </w:rPr>
      </w:pPr>
    </w:p>
    <w:p w:rsidR="00DD7D57" w:rsidRPr="005D068E" w:rsidRDefault="00DD7D57" w:rsidP="00DD7D57">
      <w:pPr>
        <w:pStyle w:val="DCF1"/>
        <w:ind w:left="720"/>
        <w:jc w:val="both"/>
        <w:rPr>
          <w:rFonts w:ascii="Calibri" w:hAnsi="Calibri"/>
          <w:sz w:val="24"/>
          <w:szCs w:val="24"/>
        </w:rPr>
      </w:pPr>
    </w:p>
    <w:p w:rsidR="0062698D" w:rsidRPr="006737B9" w:rsidRDefault="0027216F" w:rsidP="006737B9">
      <w:pPr>
        <w:pStyle w:val="DCF1"/>
        <w:jc w:val="both"/>
        <w:rPr>
          <w:rFonts w:ascii="Calibri" w:hAnsi="Calibri"/>
          <w:b/>
          <w:sz w:val="24"/>
          <w:szCs w:val="24"/>
        </w:rPr>
      </w:pPr>
      <w:r w:rsidRPr="006737B9">
        <w:rPr>
          <w:rFonts w:ascii="Calibri" w:hAnsi="Calibri"/>
          <w:b/>
          <w:sz w:val="24"/>
          <w:szCs w:val="24"/>
        </w:rPr>
        <w:t>Determining E</w:t>
      </w:r>
      <w:r w:rsidR="0087715E" w:rsidRPr="006737B9">
        <w:rPr>
          <w:rFonts w:ascii="Calibri" w:hAnsi="Calibri"/>
          <w:b/>
          <w:sz w:val="24"/>
          <w:szCs w:val="24"/>
        </w:rPr>
        <w:t xml:space="preserve">ligibility </w:t>
      </w:r>
    </w:p>
    <w:p w:rsidR="00626F1F" w:rsidRDefault="00626F1F" w:rsidP="006737B9">
      <w:pPr>
        <w:pStyle w:val="DCF1"/>
        <w:numPr>
          <w:ilvl w:val="0"/>
          <w:numId w:val="5"/>
        </w:numPr>
        <w:jc w:val="both"/>
        <w:rPr>
          <w:rFonts w:ascii="Calibri" w:hAnsi="Calibri"/>
          <w:sz w:val="24"/>
          <w:szCs w:val="24"/>
        </w:rPr>
      </w:pPr>
      <w:r w:rsidRPr="006737B9">
        <w:rPr>
          <w:rFonts w:ascii="Calibri" w:hAnsi="Calibri"/>
          <w:sz w:val="24"/>
          <w:szCs w:val="24"/>
        </w:rPr>
        <w:t xml:space="preserve">All documentation revealing information about a person’s past or present gender reassignment status must be managed in accordance with </w:t>
      </w:r>
      <w:r w:rsidR="004C2BEE" w:rsidRPr="006737B9">
        <w:rPr>
          <w:rFonts w:ascii="Calibri" w:hAnsi="Calibri"/>
          <w:sz w:val="24"/>
          <w:szCs w:val="24"/>
        </w:rPr>
        <w:t>DSGB</w:t>
      </w:r>
      <w:r w:rsidR="00C04FF9" w:rsidRPr="006737B9">
        <w:rPr>
          <w:rFonts w:ascii="Calibri" w:hAnsi="Calibri"/>
          <w:sz w:val="24"/>
          <w:szCs w:val="24"/>
        </w:rPr>
        <w:t xml:space="preserve">’s </w:t>
      </w:r>
      <w:r w:rsidRPr="006737B9">
        <w:rPr>
          <w:rFonts w:ascii="Calibri" w:hAnsi="Calibri"/>
          <w:sz w:val="24"/>
          <w:szCs w:val="24"/>
        </w:rPr>
        <w:t xml:space="preserve">policies with regard to the management of sensitive and confidential information and in line with the Data Protection Act 1998 and, where relevant, </w:t>
      </w:r>
      <w:r w:rsidR="00F3001C" w:rsidRPr="006737B9">
        <w:rPr>
          <w:rFonts w:ascii="Calibri" w:hAnsi="Calibri"/>
          <w:sz w:val="24"/>
          <w:szCs w:val="24"/>
        </w:rPr>
        <w:t>the Gender Recognition Act 2004</w:t>
      </w:r>
      <w:r w:rsidR="00F57355" w:rsidRPr="006737B9">
        <w:rPr>
          <w:rFonts w:ascii="Calibri" w:hAnsi="Calibri"/>
          <w:sz w:val="24"/>
          <w:szCs w:val="24"/>
        </w:rPr>
        <w:t>.</w:t>
      </w:r>
      <w:r w:rsidR="005D068E">
        <w:rPr>
          <w:rFonts w:ascii="Calibri" w:hAnsi="Calibri"/>
          <w:sz w:val="24"/>
          <w:szCs w:val="24"/>
        </w:rPr>
        <w:t xml:space="preserve"> See Data Protection Policy</w:t>
      </w:r>
      <w:r w:rsidR="00784B5C">
        <w:rPr>
          <w:rFonts w:ascii="Calibri" w:hAnsi="Calibri"/>
          <w:sz w:val="24"/>
          <w:szCs w:val="24"/>
        </w:rPr>
        <w:t xml:space="preserve">: </w:t>
      </w:r>
      <w:r w:rsidR="00784B5C" w:rsidRPr="00784B5C">
        <w:rPr>
          <w:rFonts w:ascii="Calibri" w:hAnsi="Calibri"/>
          <w:sz w:val="24"/>
          <w:szCs w:val="24"/>
        </w:rPr>
        <w:t>http://www.disabilityshooting-gb.org/structure/</w:t>
      </w:r>
    </w:p>
    <w:p w:rsidR="00784B5C" w:rsidRPr="006737B9" w:rsidRDefault="00784B5C" w:rsidP="00784B5C">
      <w:pPr>
        <w:pStyle w:val="DCF1"/>
        <w:ind w:left="720"/>
        <w:jc w:val="both"/>
        <w:rPr>
          <w:rFonts w:ascii="Calibri" w:hAnsi="Calibri"/>
          <w:sz w:val="24"/>
          <w:szCs w:val="24"/>
        </w:rPr>
      </w:pPr>
    </w:p>
    <w:p w:rsidR="00626F1F" w:rsidRPr="006737B9" w:rsidRDefault="00626F1F" w:rsidP="006737B9">
      <w:pPr>
        <w:pStyle w:val="DCF1"/>
        <w:numPr>
          <w:ilvl w:val="0"/>
          <w:numId w:val="5"/>
        </w:numPr>
        <w:jc w:val="both"/>
        <w:rPr>
          <w:rFonts w:ascii="Calibri" w:hAnsi="Calibri"/>
          <w:sz w:val="24"/>
          <w:szCs w:val="24"/>
        </w:rPr>
      </w:pPr>
      <w:r w:rsidRPr="006737B9">
        <w:rPr>
          <w:rFonts w:ascii="Calibri" w:hAnsi="Calibri"/>
          <w:sz w:val="24"/>
          <w:szCs w:val="24"/>
        </w:rPr>
        <w:t>Anyone involved should understand the confidentiality obligations that are associated with handling such a</w:t>
      </w:r>
      <w:r w:rsidR="00F3001C" w:rsidRPr="006737B9">
        <w:rPr>
          <w:rFonts w:ascii="Calibri" w:hAnsi="Calibri"/>
          <w:sz w:val="24"/>
          <w:szCs w:val="24"/>
        </w:rPr>
        <w:t xml:space="preserve"> matter</w:t>
      </w:r>
      <w:r w:rsidR="00F57355" w:rsidRPr="006737B9">
        <w:rPr>
          <w:rFonts w:ascii="Calibri" w:hAnsi="Calibri"/>
          <w:sz w:val="24"/>
          <w:szCs w:val="24"/>
        </w:rPr>
        <w:t>.</w:t>
      </w:r>
    </w:p>
    <w:p w:rsidR="00626F1F" w:rsidRPr="006737B9" w:rsidRDefault="00626F1F" w:rsidP="006737B9">
      <w:pPr>
        <w:pStyle w:val="DCF1"/>
        <w:numPr>
          <w:ilvl w:val="0"/>
          <w:numId w:val="5"/>
        </w:numPr>
        <w:jc w:val="both"/>
        <w:rPr>
          <w:rFonts w:ascii="Calibri" w:hAnsi="Calibri"/>
          <w:sz w:val="24"/>
          <w:szCs w:val="24"/>
        </w:rPr>
      </w:pPr>
      <w:r w:rsidRPr="006737B9">
        <w:rPr>
          <w:rFonts w:ascii="Calibri" w:hAnsi="Calibri"/>
          <w:sz w:val="24"/>
          <w:szCs w:val="24"/>
        </w:rPr>
        <w:lastRenderedPageBreak/>
        <w:t xml:space="preserve">The </w:t>
      </w:r>
      <w:r w:rsidR="00C04FF9" w:rsidRPr="006737B9">
        <w:rPr>
          <w:rFonts w:ascii="Calibri" w:hAnsi="Calibri"/>
          <w:sz w:val="24"/>
          <w:szCs w:val="24"/>
        </w:rPr>
        <w:t>SO</w:t>
      </w:r>
      <w:r w:rsidRPr="006737B9">
        <w:rPr>
          <w:rFonts w:ascii="Calibri" w:hAnsi="Calibri"/>
          <w:sz w:val="24"/>
          <w:szCs w:val="24"/>
        </w:rPr>
        <w:t xml:space="preserve"> </w:t>
      </w:r>
      <w:r w:rsidR="00C04FF9" w:rsidRPr="006737B9">
        <w:rPr>
          <w:rFonts w:ascii="Calibri" w:hAnsi="Calibri"/>
          <w:sz w:val="24"/>
          <w:szCs w:val="24"/>
        </w:rPr>
        <w:t>will</w:t>
      </w:r>
      <w:r w:rsidRPr="006737B9">
        <w:rPr>
          <w:rFonts w:ascii="Calibri" w:hAnsi="Calibri"/>
          <w:sz w:val="24"/>
          <w:szCs w:val="24"/>
        </w:rPr>
        <w:t xml:space="preserve"> undertake all communication with the individual concerned only sharing information with members e.g. </w:t>
      </w:r>
      <w:r w:rsidR="00C04FF9" w:rsidRPr="006737B9">
        <w:rPr>
          <w:rFonts w:ascii="Calibri" w:hAnsi="Calibri"/>
          <w:sz w:val="24"/>
          <w:szCs w:val="24"/>
        </w:rPr>
        <w:t>recognised Governing Bodies</w:t>
      </w:r>
      <w:r w:rsidRPr="006737B9">
        <w:rPr>
          <w:rFonts w:ascii="Calibri" w:hAnsi="Calibri"/>
          <w:sz w:val="24"/>
          <w:szCs w:val="24"/>
        </w:rPr>
        <w:t xml:space="preserve"> </w:t>
      </w:r>
      <w:r w:rsidR="00F3001C" w:rsidRPr="006737B9">
        <w:rPr>
          <w:rFonts w:ascii="Calibri" w:hAnsi="Calibri"/>
          <w:sz w:val="24"/>
          <w:szCs w:val="24"/>
        </w:rPr>
        <w:t xml:space="preserve">with the individual’s permission and </w:t>
      </w:r>
      <w:r w:rsidRPr="006737B9">
        <w:rPr>
          <w:rFonts w:ascii="Calibri" w:hAnsi="Calibri"/>
          <w:sz w:val="24"/>
          <w:szCs w:val="24"/>
        </w:rPr>
        <w:t>on a ‘needs</w:t>
      </w:r>
      <w:r w:rsidRPr="006737B9">
        <w:rPr>
          <w:rFonts w:ascii="Calibri" w:hAnsi="Calibri" w:cs="Cambria Math"/>
          <w:sz w:val="24"/>
          <w:szCs w:val="24"/>
        </w:rPr>
        <w:t>‐</w:t>
      </w:r>
      <w:r w:rsidRPr="006737B9">
        <w:rPr>
          <w:rFonts w:ascii="Calibri" w:hAnsi="Calibri"/>
          <w:sz w:val="24"/>
          <w:szCs w:val="24"/>
        </w:rPr>
        <w:t>led’ basis allowing the</w:t>
      </w:r>
      <w:r w:rsidR="00F3001C" w:rsidRPr="006737B9">
        <w:rPr>
          <w:rFonts w:ascii="Calibri" w:hAnsi="Calibri"/>
          <w:sz w:val="24"/>
          <w:szCs w:val="24"/>
        </w:rPr>
        <w:t>m to manage player registration</w:t>
      </w:r>
      <w:r w:rsidR="00F57355" w:rsidRPr="006737B9">
        <w:rPr>
          <w:rFonts w:ascii="Calibri" w:hAnsi="Calibri"/>
          <w:sz w:val="24"/>
          <w:szCs w:val="24"/>
        </w:rPr>
        <w:t>.</w:t>
      </w:r>
    </w:p>
    <w:p w:rsidR="00626F1F" w:rsidRPr="006737B9" w:rsidRDefault="00626F1F" w:rsidP="006737B9">
      <w:pPr>
        <w:pStyle w:val="DCF1"/>
        <w:numPr>
          <w:ilvl w:val="0"/>
          <w:numId w:val="5"/>
        </w:numPr>
        <w:jc w:val="both"/>
        <w:rPr>
          <w:rFonts w:ascii="Calibri" w:hAnsi="Calibri"/>
          <w:sz w:val="24"/>
          <w:szCs w:val="24"/>
        </w:rPr>
      </w:pPr>
      <w:r w:rsidRPr="006737B9">
        <w:rPr>
          <w:rFonts w:ascii="Calibri" w:hAnsi="Calibri"/>
          <w:sz w:val="24"/>
          <w:szCs w:val="24"/>
        </w:rPr>
        <w:t xml:space="preserve">In order to determine compliance with this policy it is recommended that the </w:t>
      </w:r>
      <w:r w:rsidR="00C04FF9" w:rsidRPr="006737B9">
        <w:rPr>
          <w:rFonts w:ascii="Calibri" w:hAnsi="Calibri"/>
          <w:sz w:val="24"/>
          <w:szCs w:val="24"/>
        </w:rPr>
        <w:t>SO</w:t>
      </w:r>
      <w:r w:rsidRPr="006737B9">
        <w:rPr>
          <w:rFonts w:ascii="Calibri" w:hAnsi="Calibri"/>
          <w:sz w:val="24"/>
          <w:szCs w:val="24"/>
        </w:rPr>
        <w:t xml:space="preserve"> and/or the Chief Executive consider the evidence on a case</w:t>
      </w:r>
      <w:r w:rsidRPr="006737B9">
        <w:rPr>
          <w:rFonts w:ascii="Calibri" w:hAnsi="Calibri" w:cs="Cambria Math"/>
          <w:sz w:val="24"/>
          <w:szCs w:val="24"/>
        </w:rPr>
        <w:t>‐</w:t>
      </w:r>
      <w:r w:rsidRPr="006737B9">
        <w:rPr>
          <w:rFonts w:ascii="Calibri" w:hAnsi="Calibri"/>
          <w:sz w:val="24"/>
          <w:szCs w:val="24"/>
        </w:rPr>
        <w:t>by case basis.</w:t>
      </w:r>
    </w:p>
    <w:p w:rsidR="00DD7D57" w:rsidRPr="006737B9" w:rsidRDefault="00DD7D57" w:rsidP="006737B9">
      <w:pPr>
        <w:pStyle w:val="DCF1"/>
        <w:jc w:val="both"/>
        <w:rPr>
          <w:rFonts w:ascii="Calibri" w:hAnsi="Calibri"/>
          <w:b/>
          <w:sz w:val="24"/>
          <w:szCs w:val="24"/>
        </w:rPr>
      </w:pPr>
    </w:p>
    <w:p w:rsidR="00891760" w:rsidRPr="006737B9" w:rsidRDefault="00891760" w:rsidP="006737B9">
      <w:pPr>
        <w:pStyle w:val="NoSpacing"/>
        <w:jc w:val="both"/>
        <w:rPr>
          <w:rFonts w:ascii="Calibri" w:hAnsi="Calibri"/>
        </w:rPr>
      </w:pPr>
      <w:r w:rsidRPr="006737B9">
        <w:rPr>
          <w:rFonts w:ascii="Calibri" w:hAnsi="Calibri"/>
          <w:b/>
        </w:rPr>
        <w:t xml:space="preserve">Athletes living the Real Life Experience (RLE): </w:t>
      </w:r>
      <w:r w:rsidRPr="006737B9">
        <w:rPr>
          <w:rFonts w:ascii="Calibri" w:hAnsi="Calibri"/>
        </w:rPr>
        <w:t>People who were assigned male at birth and who are now living in their acquired gender as women. This is often required of individuals before they are placed on hormone treatment which will suppress their testosterone level.  The impact of the hormone treatment means they would not be operating at any strength advantage.</w:t>
      </w:r>
    </w:p>
    <w:p w:rsidR="00891760" w:rsidRPr="006737B9" w:rsidRDefault="00891760" w:rsidP="006737B9">
      <w:pPr>
        <w:pStyle w:val="NoSpacing"/>
        <w:jc w:val="both"/>
        <w:rPr>
          <w:rFonts w:ascii="Calibri" w:hAnsi="Calibri"/>
        </w:rPr>
      </w:pPr>
      <w:r w:rsidRPr="006737B9">
        <w:rPr>
          <w:rFonts w:ascii="Calibri" w:hAnsi="Calibri"/>
        </w:rPr>
        <w:t>When hormone treatments and testosterone levels are confirmed, the individual will be free to compete in mixed and acquired gender competitions.  Confirmation of testosterone levels would be supplied by the treating clinic.</w:t>
      </w:r>
    </w:p>
    <w:p w:rsidR="00891760" w:rsidRPr="006737B9" w:rsidRDefault="00891760" w:rsidP="006737B9">
      <w:pPr>
        <w:pStyle w:val="DCF1"/>
        <w:ind w:left="720"/>
        <w:jc w:val="both"/>
        <w:rPr>
          <w:rFonts w:ascii="Calibri" w:hAnsi="Calibri"/>
          <w:b/>
          <w:sz w:val="24"/>
          <w:szCs w:val="24"/>
        </w:rPr>
      </w:pPr>
    </w:p>
    <w:p w:rsidR="005C1B3D" w:rsidRPr="006737B9" w:rsidRDefault="005C1B3D" w:rsidP="006737B9">
      <w:pPr>
        <w:pStyle w:val="DCF1"/>
        <w:jc w:val="both"/>
        <w:rPr>
          <w:rFonts w:ascii="Calibri" w:hAnsi="Calibri"/>
          <w:b/>
          <w:sz w:val="24"/>
          <w:szCs w:val="24"/>
        </w:rPr>
      </w:pPr>
      <w:r w:rsidRPr="006737B9">
        <w:rPr>
          <w:rFonts w:ascii="Calibri" w:hAnsi="Calibri"/>
          <w:b/>
          <w:sz w:val="24"/>
          <w:szCs w:val="24"/>
        </w:rPr>
        <w:t>Complaints</w:t>
      </w:r>
    </w:p>
    <w:p w:rsidR="005C1B3D" w:rsidRPr="006737B9" w:rsidRDefault="00967886" w:rsidP="006737B9">
      <w:pPr>
        <w:pStyle w:val="DCF1"/>
        <w:jc w:val="both"/>
        <w:rPr>
          <w:rFonts w:ascii="Calibri" w:hAnsi="Calibri"/>
          <w:sz w:val="24"/>
          <w:szCs w:val="24"/>
        </w:rPr>
      </w:pPr>
      <w:r w:rsidRPr="006737B9">
        <w:rPr>
          <w:rFonts w:ascii="Calibri" w:hAnsi="Calibri"/>
          <w:sz w:val="24"/>
          <w:szCs w:val="24"/>
        </w:rPr>
        <w:t xml:space="preserve">Complaints will </w:t>
      </w:r>
      <w:r w:rsidR="00BC5938" w:rsidRPr="006737B9">
        <w:rPr>
          <w:rFonts w:ascii="Calibri" w:hAnsi="Calibri"/>
          <w:sz w:val="24"/>
          <w:szCs w:val="24"/>
        </w:rPr>
        <w:t xml:space="preserve">only </w:t>
      </w:r>
      <w:r w:rsidRPr="006737B9">
        <w:rPr>
          <w:rFonts w:ascii="Calibri" w:hAnsi="Calibri"/>
          <w:sz w:val="24"/>
          <w:szCs w:val="24"/>
        </w:rPr>
        <w:t>be accepted in relation to matter</w:t>
      </w:r>
      <w:r w:rsidR="00BC5938" w:rsidRPr="006737B9">
        <w:rPr>
          <w:rFonts w:ascii="Calibri" w:hAnsi="Calibri"/>
          <w:sz w:val="24"/>
          <w:szCs w:val="24"/>
        </w:rPr>
        <w:t>s</w:t>
      </w:r>
      <w:r w:rsidRPr="006737B9">
        <w:rPr>
          <w:rFonts w:ascii="Calibri" w:hAnsi="Calibri"/>
          <w:sz w:val="24"/>
          <w:szCs w:val="24"/>
        </w:rPr>
        <w:t xml:space="preserve"> within </w:t>
      </w:r>
      <w:r w:rsidR="004C2BEE" w:rsidRPr="006737B9">
        <w:rPr>
          <w:rFonts w:ascii="Calibri" w:hAnsi="Calibri"/>
          <w:sz w:val="24"/>
          <w:szCs w:val="24"/>
        </w:rPr>
        <w:t>DSGB</w:t>
      </w:r>
      <w:r w:rsidRPr="006737B9">
        <w:rPr>
          <w:rFonts w:ascii="Calibri" w:hAnsi="Calibri"/>
          <w:sz w:val="24"/>
          <w:szCs w:val="24"/>
        </w:rPr>
        <w:t xml:space="preserve"> jurisdiction.  Complaints relating to any of </w:t>
      </w:r>
      <w:r w:rsidR="004C2BEE" w:rsidRPr="006737B9">
        <w:rPr>
          <w:rFonts w:ascii="Calibri" w:hAnsi="Calibri"/>
          <w:sz w:val="24"/>
          <w:szCs w:val="24"/>
        </w:rPr>
        <w:t>DSGB</w:t>
      </w:r>
      <w:r w:rsidRPr="006737B9">
        <w:rPr>
          <w:rFonts w:ascii="Calibri" w:hAnsi="Calibri"/>
          <w:sz w:val="24"/>
          <w:szCs w:val="24"/>
        </w:rPr>
        <w:t xml:space="preserve">’s constituent </w:t>
      </w:r>
      <w:r w:rsidR="00BC5938" w:rsidRPr="006737B9">
        <w:rPr>
          <w:rFonts w:ascii="Calibri" w:hAnsi="Calibri"/>
          <w:sz w:val="24"/>
          <w:szCs w:val="24"/>
        </w:rPr>
        <w:t xml:space="preserve">bodies must be directed to that NGB.  </w:t>
      </w:r>
      <w:r w:rsidR="005C1B3D" w:rsidRPr="006737B9">
        <w:rPr>
          <w:rFonts w:ascii="Calibri" w:hAnsi="Calibri"/>
          <w:sz w:val="24"/>
          <w:szCs w:val="24"/>
        </w:rPr>
        <w:t>Complaints shall be treated seriously, confidentially and respec</w:t>
      </w:r>
      <w:r w:rsidR="00105971" w:rsidRPr="006737B9">
        <w:rPr>
          <w:rFonts w:ascii="Calibri" w:hAnsi="Calibri"/>
          <w:sz w:val="24"/>
          <w:szCs w:val="24"/>
        </w:rPr>
        <w:t>tfully, and will be managed</w:t>
      </w:r>
      <w:r w:rsidR="005C1B3D" w:rsidRPr="006737B9">
        <w:rPr>
          <w:rFonts w:ascii="Calibri" w:hAnsi="Calibri"/>
          <w:sz w:val="24"/>
          <w:szCs w:val="24"/>
        </w:rPr>
        <w:t xml:space="preserve"> under the </w:t>
      </w:r>
      <w:r w:rsidR="004C2BEE" w:rsidRPr="006737B9">
        <w:rPr>
          <w:rFonts w:ascii="Calibri" w:hAnsi="Calibri"/>
          <w:sz w:val="24"/>
          <w:szCs w:val="24"/>
        </w:rPr>
        <w:t>DSGB</w:t>
      </w:r>
      <w:r w:rsidR="006737B9" w:rsidRPr="006737B9">
        <w:rPr>
          <w:rFonts w:ascii="Calibri" w:hAnsi="Calibri"/>
          <w:sz w:val="24"/>
          <w:szCs w:val="24"/>
        </w:rPr>
        <w:t xml:space="preserve"> Complaints Policy.</w:t>
      </w:r>
    </w:p>
    <w:p w:rsidR="005C1B3D" w:rsidRPr="006737B9" w:rsidRDefault="005C1B3D" w:rsidP="006737B9">
      <w:pPr>
        <w:pStyle w:val="DCF1"/>
        <w:jc w:val="both"/>
        <w:rPr>
          <w:rFonts w:ascii="Calibri" w:hAnsi="Calibri"/>
          <w:b/>
          <w:sz w:val="24"/>
          <w:szCs w:val="24"/>
        </w:rPr>
      </w:pPr>
    </w:p>
    <w:p w:rsidR="00626F1F" w:rsidRPr="006737B9" w:rsidRDefault="00626F1F" w:rsidP="006737B9">
      <w:pPr>
        <w:pStyle w:val="DCF1"/>
        <w:jc w:val="both"/>
        <w:rPr>
          <w:rFonts w:ascii="Calibri" w:hAnsi="Calibri"/>
          <w:b/>
          <w:sz w:val="24"/>
          <w:szCs w:val="24"/>
        </w:rPr>
      </w:pPr>
      <w:bookmarkStart w:id="0" w:name="_GoBack"/>
      <w:bookmarkEnd w:id="0"/>
      <w:r w:rsidRPr="006737B9">
        <w:rPr>
          <w:rFonts w:ascii="Calibri" w:hAnsi="Calibri"/>
          <w:b/>
          <w:sz w:val="24"/>
          <w:szCs w:val="24"/>
        </w:rPr>
        <w:t xml:space="preserve">Appeal </w:t>
      </w:r>
    </w:p>
    <w:p w:rsidR="00626F1F" w:rsidRPr="006737B9" w:rsidRDefault="00BC5938" w:rsidP="006737B9">
      <w:pPr>
        <w:pStyle w:val="DCF1"/>
        <w:jc w:val="both"/>
        <w:rPr>
          <w:rFonts w:ascii="Calibri" w:hAnsi="Calibri"/>
          <w:sz w:val="24"/>
          <w:szCs w:val="24"/>
        </w:rPr>
      </w:pPr>
      <w:r w:rsidRPr="006737B9">
        <w:rPr>
          <w:rFonts w:ascii="Calibri" w:hAnsi="Calibri"/>
          <w:sz w:val="24"/>
          <w:szCs w:val="24"/>
        </w:rPr>
        <w:t>Appeals will be accepted only in relation to matter</w:t>
      </w:r>
      <w:r w:rsidR="00157150" w:rsidRPr="006737B9">
        <w:rPr>
          <w:rFonts w:ascii="Calibri" w:hAnsi="Calibri"/>
          <w:sz w:val="24"/>
          <w:szCs w:val="24"/>
        </w:rPr>
        <w:t xml:space="preserve">s </w:t>
      </w:r>
      <w:r w:rsidRPr="006737B9">
        <w:rPr>
          <w:rFonts w:ascii="Calibri" w:hAnsi="Calibri"/>
          <w:sz w:val="24"/>
          <w:szCs w:val="24"/>
        </w:rPr>
        <w:t xml:space="preserve">within </w:t>
      </w:r>
      <w:r w:rsidR="004C2BEE" w:rsidRPr="006737B9">
        <w:rPr>
          <w:rFonts w:ascii="Calibri" w:hAnsi="Calibri"/>
          <w:sz w:val="24"/>
          <w:szCs w:val="24"/>
        </w:rPr>
        <w:t>DSGB</w:t>
      </w:r>
      <w:r w:rsidRPr="006737B9">
        <w:rPr>
          <w:rFonts w:ascii="Calibri" w:hAnsi="Calibri"/>
          <w:sz w:val="24"/>
          <w:szCs w:val="24"/>
        </w:rPr>
        <w:t xml:space="preserve"> jurisdiction.  Appeals relating to any of </w:t>
      </w:r>
      <w:r w:rsidR="004C2BEE" w:rsidRPr="006737B9">
        <w:rPr>
          <w:rFonts w:ascii="Calibri" w:hAnsi="Calibri"/>
          <w:sz w:val="24"/>
          <w:szCs w:val="24"/>
        </w:rPr>
        <w:t>DSGB</w:t>
      </w:r>
      <w:r w:rsidRPr="006737B9">
        <w:rPr>
          <w:rFonts w:ascii="Calibri" w:hAnsi="Calibri"/>
          <w:sz w:val="24"/>
          <w:szCs w:val="24"/>
        </w:rPr>
        <w:t xml:space="preserve">’s constituent bodies must be directed to that NGB.  </w:t>
      </w:r>
      <w:r w:rsidR="00626F1F" w:rsidRPr="006737B9">
        <w:rPr>
          <w:rFonts w:ascii="Calibri" w:hAnsi="Calibri"/>
          <w:sz w:val="24"/>
          <w:szCs w:val="24"/>
        </w:rPr>
        <w:t>An</w:t>
      </w:r>
      <w:r w:rsidR="005C1B3D" w:rsidRPr="006737B9">
        <w:rPr>
          <w:rFonts w:ascii="Calibri" w:hAnsi="Calibri"/>
          <w:sz w:val="24"/>
          <w:szCs w:val="24"/>
        </w:rPr>
        <w:t>y</w:t>
      </w:r>
      <w:r w:rsidR="00626F1F" w:rsidRPr="006737B9">
        <w:rPr>
          <w:rFonts w:ascii="Calibri" w:hAnsi="Calibri"/>
          <w:sz w:val="24"/>
          <w:szCs w:val="24"/>
        </w:rPr>
        <w:t xml:space="preserve"> individual whose participation is refused shall have the right to appeal to </w:t>
      </w:r>
      <w:r w:rsidR="00C04FF9" w:rsidRPr="006737B9">
        <w:rPr>
          <w:rFonts w:ascii="Calibri" w:hAnsi="Calibri"/>
          <w:sz w:val="24"/>
          <w:szCs w:val="24"/>
        </w:rPr>
        <w:t xml:space="preserve">the </w:t>
      </w:r>
      <w:r w:rsidR="004C2BEE" w:rsidRPr="006737B9">
        <w:rPr>
          <w:rFonts w:ascii="Calibri" w:hAnsi="Calibri"/>
          <w:sz w:val="24"/>
          <w:szCs w:val="24"/>
        </w:rPr>
        <w:t>DSGB</w:t>
      </w:r>
      <w:r w:rsidR="00626F1F" w:rsidRPr="006737B9">
        <w:rPr>
          <w:rFonts w:ascii="Calibri" w:hAnsi="Calibri"/>
          <w:sz w:val="24"/>
          <w:szCs w:val="24"/>
        </w:rPr>
        <w:t xml:space="preserve"> appeals panel established for the purpose. </w:t>
      </w:r>
    </w:p>
    <w:p w:rsidR="00626F1F" w:rsidRPr="006737B9" w:rsidRDefault="00626F1F" w:rsidP="006737B9">
      <w:pPr>
        <w:pStyle w:val="DCF1"/>
        <w:jc w:val="both"/>
        <w:rPr>
          <w:rFonts w:ascii="Calibri" w:hAnsi="Calibri"/>
          <w:sz w:val="24"/>
          <w:szCs w:val="24"/>
        </w:rPr>
      </w:pPr>
    </w:p>
    <w:p w:rsidR="00626F1F" w:rsidRPr="006737B9" w:rsidRDefault="00626F1F" w:rsidP="006737B9">
      <w:pPr>
        <w:pStyle w:val="DCF1"/>
        <w:jc w:val="both"/>
        <w:rPr>
          <w:rFonts w:ascii="Calibri" w:hAnsi="Calibri"/>
          <w:b/>
          <w:sz w:val="24"/>
          <w:szCs w:val="24"/>
        </w:rPr>
      </w:pPr>
      <w:r w:rsidRPr="006737B9">
        <w:rPr>
          <w:rFonts w:ascii="Calibri" w:hAnsi="Calibri"/>
          <w:b/>
          <w:sz w:val="24"/>
          <w:szCs w:val="24"/>
        </w:rPr>
        <w:t>Qualifications and Awards</w:t>
      </w:r>
    </w:p>
    <w:p w:rsidR="00626F1F" w:rsidRPr="006737B9" w:rsidRDefault="002410EF" w:rsidP="006737B9">
      <w:pPr>
        <w:pStyle w:val="DCF1"/>
        <w:jc w:val="both"/>
        <w:rPr>
          <w:rFonts w:ascii="Calibri" w:hAnsi="Calibri"/>
          <w:sz w:val="24"/>
          <w:szCs w:val="24"/>
        </w:rPr>
      </w:pPr>
      <w:r w:rsidRPr="006737B9">
        <w:rPr>
          <w:rFonts w:ascii="Calibri" w:hAnsi="Calibri"/>
          <w:sz w:val="24"/>
          <w:szCs w:val="24"/>
        </w:rPr>
        <w:t>There will no change in the status of an individual who, having achieved qualifications and national or in</w:t>
      </w:r>
      <w:r w:rsidR="0062698D" w:rsidRPr="006737B9">
        <w:rPr>
          <w:rFonts w:ascii="Calibri" w:hAnsi="Calibri"/>
          <w:sz w:val="24"/>
          <w:szCs w:val="24"/>
        </w:rPr>
        <w:t xml:space="preserve">ternational status in any </w:t>
      </w:r>
      <w:r w:rsidR="0037530C" w:rsidRPr="006737B9">
        <w:rPr>
          <w:rFonts w:ascii="Calibri" w:hAnsi="Calibri"/>
          <w:sz w:val="24"/>
          <w:szCs w:val="24"/>
        </w:rPr>
        <w:t>other capacity</w:t>
      </w:r>
      <w:r w:rsidR="0062698D" w:rsidRPr="006737B9">
        <w:rPr>
          <w:rFonts w:ascii="Calibri" w:hAnsi="Calibri"/>
          <w:sz w:val="24"/>
          <w:szCs w:val="24"/>
        </w:rPr>
        <w:t xml:space="preserve">, </w:t>
      </w:r>
      <w:r w:rsidRPr="006737B9">
        <w:rPr>
          <w:rFonts w:ascii="Calibri" w:hAnsi="Calibri"/>
          <w:sz w:val="24"/>
          <w:szCs w:val="24"/>
        </w:rPr>
        <w:t xml:space="preserve">for example as coach or judge.  </w:t>
      </w:r>
    </w:p>
    <w:p w:rsidR="00626F1F" w:rsidRPr="006737B9" w:rsidRDefault="00626F1F" w:rsidP="006737B9">
      <w:pPr>
        <w:pStyle w:val="DCF1"/>
        <w:jc w:val="both"/>
        <w:rPr>
          <w:rFonts w:ascii="Calibri" w:hAnsi="Calibri"/>
          <w:b/>
          <w:sz w:val="24"/>
          <w:szCs w:val="24"/>
        </w:rPr>
      </w:pPr>
    </w:p>
    <w:p w:rsidR="00F13D37" w:rsidRPr="006737B9" w:rsidRDefault="00F13D37" w:rsidP="006737B9">
      <w:pPr>
        <w:pStyle w:val="DCF1"/>
        <w:jc w:val="both"/>
        <w:rPr>
          <w:rFonts w:ascii="Calibri" w:hAnsi="Calibri"/>
          <w:b/>
          <w:sz w:val="24"/>
          <w:szCs w:val="24"/>
        </w:rPr>
      </w:pPr>
      <w:r w:rsidRPr="006737B9">
        <w:rPr>
          <w:rFonts w:ascii="Calibri" w:hAnsi="Calibri"/>
          <w:b/>
          <w:sz w:val="24"/>
          <w:szCs w:val="24"/>
        </w:rPr>
        <w:t>Monitoring</w:t>
      </w:r>
    </w:p>
    <w:p w:rsidR="00F13D37" w:rsidRPr="006737B9" w:rsidRDefault="004C2BEE" w:rsidP="006737B9">
      <w:pPr>
        <w:pStyle w:val="DCF1"/>
        <w:jc w:val="both"/>
        <w:rPr>
          <w:rFonts w:ascii="Calibri" w:hAnsi="Calibri"/>
          <w:sz w:val="24"/>
          <w:szCs w:val="24"/>
        </w:rPr>
      </w:pPr>
      <w:r w:rsidRPr="006737B9">
        <w:rPr>
          <w:rFonts w:ascii="Calibri" w:hAnsi="Calibri"/>
          <w:sz w:val="24"/>
          <w:szCs w:val="24"/>
        </w:rPr>
        <w:t>DSGB</w:t>
      </w:r>
      <w:r w:rsidR="00F13D37" w:rsidRPr="006737B9">
        <w:rPr>
          <w:rFonts w:ascii="Calibri" w:hAnsi="Calibri"/>
          <w:sz w:val="24"/>
          <w:szCs w:val="24"/>
        </w:rPr>
        <w:t xml:space="preserve"> will monitor this policy regularly including any complaints or appeals by transsexual people and their involvement in the shooting in all capacities through the equality audit. </w:t>
      </w:r>
    </w:p>
    <w:p w:rsidR="00F13D37" w:rsidRPr="006737B9" w:rsidRDefault="00F13D37" w:rsidP="006737B9">
      <w:pPr>
        <w:pStyle w:val="DCF1"/>
        <w:jc w:val="both"/>
        <w:rPr>
          <w:rFonts w:ascii="Calibri" w:hAnsi="Calibri"/>
          <w:sz w:val="24"/>
          <w:szCs w:val="24"/>
        </w:rPr>
      </w:pPr>
    </w:p>
    <w:p w:rsidR="00F13D37" w:rsidRPr="006737B9" w:rsidRDefault="00F13D37" w:rsidP="006737B9">
      <w:pPr>
        <w:pStyle w:val="DCF1"/>
        <w:jc w:val="both"/>
        <w:rPr>
          <w:rFonts w:ascii="Calibri" w:hAnsi="Calibri"/>
          <w:b/>
          <w:sz w:val="24"/>
          <w:szCs w:val="24"/>
        </w:rPr>
      </w:pPr>
      <w:r w:rsidRPr="006737B9">
        <w:rPr>
          <w:rFonts w:ascii="Calibri" w:hAnsi="Calibri"/>
          <w:b/>
          <w:sz w:val="24"/>
          <w:szCs w:val="24"/>
        </w:rPr>
        <w:t>Review date</w:t>
      </w:r>
    </w:p>
    <w:p w:rsidR="00F13D37" w:rsidRPr="006737B9" w:rsidRDefault="00F13D37" w:rsidP="006737B9">
      <w:pPr>
        <w:pStyle w:val="DCF1"/>
        <w:jc w:val="both"/>
        <w:rPr>
          <w:rFonts w:ascii="Calibri" w:hAnsi="Calibri"/>
          <w:sz w:val="24"/>
          <w:szCs w:val="24"/>
        </w:rPr>
      </w:pPr>
      <w:r w:rsidRPr="006737B9">
        <w:rPr>
          <w:rFonts w:ascii="Calibri" w:hAnsi="Calibri"/>
          <w:sz w:val="24"/>
          <w:szCs w:val="24"/>
        </w:rPr>
        <w:t xml:space="preserve">This policy will be reviewed no later than </w:t>
      </w:r>
      <w:r w:rsidR="00BF4673">
        <w:rPr>
          <w:rFonts w:ascii="Calibri" w:hAnsi="Calibri"/>
          <w:sz w:val="24"/>
          <w:szCs w:val="24"/>
        </w:rPr>
        <w:t>November</w:t>
      </w:r>
      <w:r w:rsidR="00891760" w:rsidRPr="006737B9">
        <w:rPr>
          <w:rFonts w:ascii="Calibri" w:hAnsi="Calibri"/>
          <w:sz w:val="24"/>
          <w:szCs w:val="24"/>
        </w:rPr>
        <w:t xml:space="preserve"> 2018</w:t>
      </w:r>
      <w:r w:rsidRPr="006737B9">
        <w:rPr>
          <w:rFonts w:ascii="Calibri" w:hAnsi="Calibri"/>
          <w:sz w:val="24"/>
          <w:szCs w:val="24"/>
        </w:rPr>
        <w:t xml:space="preserve"> or sooner in the event of legislative chang</w:t>
      </w:r>
      <w:r w:rsidR="00620EC7" w:rsidRPr="006737B9">
        <w:rPr>
          <w:rFonts w:ascii="Calibri" w:hAnsi="Calibri"/>
          <w:sz w:val="24"/>
          <w:szCs w:val="24"/>
        </w:rPr>
        <w:t>es or revised policies and best practice</w:t>
      </w:r>
      <w:r w:rsidRPr="006737B9">
        <w:rPr>
          <w:rFonts w:ascii="Calibri" w:hAnsi="Calibri"/>
          <w:sz w:val="24"/>
          <w:szCs w:val="24"/>
        </w:rPr>
        <w:t xml:space="preserve">. </w:t>
      </w:r>
    </w:p>
    <w:p w:rsidR="000D413B" w:rsidRPr="006737B9" w:rsidRDefault="000D413B" w:rsidP="006737B9">
      <w:pPr>
        <w:pStyle w:val="Title"/>
        <w:spacing w:after="240"/>
        <w:jc w:val="both"/>
        <w:rPr>
          <w:rFonts w:ascii="Calibri" w:hAnsi="Calibri"/>
          <w:sz w:val="24"/>
          <w:szCs w:val="24"/>
          <w:u w:val="none"/>
        </w:rPr>
      </w:pPr>
    </w:p>
    <w:sectPr w:rsidR="000D413B" w:rsidRPr="006737B9" w:rsidSect="007766DC">
      <w:headerReference w:type="default" r:id="rId9"/>
      <w:footerReference w:type="default" r:id="rId10"/>
      <w:pgSz w:w="11906" w:h="16838" w:code="9"/>
      <w:pgMar w:top="851" w:right="964" w:bottom="624" w:left="1247" w:header="709" w:footer="3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F5" w:rsidRDefault="00BF13F5" w:rsidP="0030159E">
      <w:r>
        <w:separator/>
      </w:r>
    </w:p>
  </w:endnote>
  <w:endnote w:type="continuationSeparator" w:id="0">
    <w:p w:rsidR="00BF13F5" w:rsidRDefault="00BF13F5" w:rsidP="00301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DC" w:rsidRPr="007766DC" w:rsidRDefault="007766DC" w:rsidP="005D068E">
    <w:pPr>
      <w:pStyle w:val="Footer"/>
      <w:tabs>
        <w:tab w:val="clear" w:pos="4153"/>
        <w:tab w:val="left" w:pos="567"/>
      </w:tabs>
      <w:rPr>
        <w:rFonts w:ascii="Calibri" w:hAnsi="Calibri"/>
        <w:sz w:val="18"/>
      </w:rPr>
    </w:pPr>
    <w:r w:rsidRPr="007766DC">
      <w:rPr>
        <w:rFonts w:ascii="Calibri" w:hAnsi="Calibri"/>
        <w:sz w:val="18"/>
      </w:rPr>
      <w:t>Disability Shooting Great Britain Ltd., Gend</w:t>
    </w:r>
    <w:r w:rsidR="00FB2B4F">
      <w:rPr>
        <w:rFonts w:ascii="Calibri" w:hAnsi="Calibri"/>
        <w:sz w:val="18"/>
      </w:rPr>
      <w:t>er reassignment Policy     Ver#2</w:t>
    </w:r>
    <w:r w:rsidRPr="007766DC">
      <w:rPr>
        <w:rFonts w:ascii="Calibri" w:hAnsi="Calibri"/>
        <w:sz w:val="18"/>
      </w:rPr>
      <w:t xml:space="preserve"> </w:t>
    </w:r>
    <w:r w:rsidR="00FB2B4F">
      <w:rPr>
        <w:rFonts w:ascii="Calibri" w:hAnsi="Calibri"/>
        <w:sz w:val="18"/>
      </w:rPr>
      <w:t xml:space="preserve">- </w:t>
    </w:r>
    <w:r w:rsidR="00BF4673">
      <w:rPr>
        <w:rFonts w:ascii="Calibri" w:hAnsi="Calibri"/>
        <w:sz w:val="18"/>
      </w:rPr>
      <w:t>November</w:t>
    </w:r>
    <w:r w:rsidR="00BF4673">
      <w:rPr>
        <w:rFonts w:ascii="Calibri" w:hAnsi="Calibri"/>
        <w:sz w:val="18"/>
      </w:rPr>
      <w:t xml:space="preserve"> </w:t>
    </w:r>
    <w:r w:rsidR="00FB2B4F">
      <w:rPr>
        <w:rFonts w:ascii="Calibri" w:hAnsi="Calibri"/>
        <w:sz w:val="18"/>
      </w:rPr>
      <w:t>2015</w:t>
    </w:r>
    <w:r w:rsidR="005D068E">
      <w:rPr>
        <w:rFonts w:ascii="Calibri" w:hAnsi="Calibri"/>
        <w:sz w:val="18"/>
      </w:rPr>
      <w:t xml:space="preserve"> </w:t>
    </w:r>
    <w:r w:rsidRPr="007766DC">
      <w:rPr>
        <w:rFonts w:ascii="Calibri" w:hAnsi="Calibri"/>
        <w:sz w:val="18"/>
      </w:rPr>
      <w:t xml:space="preserve"> </w:t>
    </w:r>
    <w:r w:rsidR="005D068E">
      <w:rPr>
        <w:rFonts w:ascii="Calibri" w:hAnsi="Calibri"/>
        <w:sz w:val="18"/>
      </w:rPr>
      <w:t xml:space="preserve">     </w:t>
    </w:r>
    <w:r w:rsidRPr="007766DC">
      <w:rPr>
        <w:rFonts w:ascii="Calibri" w:hAnsi="Calibri"/>
        <w:sz w:val="18"/>
      </w:rPr>
      <w:t xml:space="preserve">                                       Page </w:t>
    </w:r>
    <w:r w:rsidR="002B1BA0" w:rsidRPr="007766DC">
      <w:rPr>
        <w:rFonts w:ascii="Calibri" w:hAnsi="Calibri"/>
        <w:b/>
        <w:bCs/>
        <w:sz w:val="18"/>
      </w:rPr>
      <w:fldChar w:fldCharType="begin"/>
    </w:r>
    <w:r w:rsidRPr="007766DC">
      <w:rPr>
        <w:rFonts w:ascii="Calibri" w:hAnsi="Calibri"/>
        <w:b/>
        <w:bCs/>
        <w:sz w:val="18"/>
      </w:rPr>
      <w:instrText xml:space="preserve"> PAGE </w:instrText>
    </w:r>
    <w:r w:rsidR="002B1BA0" w:rsidRPr="007766DC">
      <w:rPr>
        <w:rFonts w:ascii="Calibri" w:hAnsi="Calibri"/>
        <w:b/>
        <w:bCs/>
        <w:sz w:val="18"/>
      </w:rPr>
      <w:fldChar w:fldCharType="separate"/>
    </w:r>
    <w:r w:rsidR="00C00BD2">
      <w:rPr>
        <w:rFonts w:ascii="Calibri" w:hAnsi="Calibri"/>
        <w:b/>
        <w:bCs/>
        <w:noProof/>
        <w:sz w:val="18"/>
      </w:rPr>
      <w:t>1</w:t>
    </w:r>
    <w:r w:rsidR="002B1BA0" w:rsidRPr="007766DC">
      <w:rPr>
        <w:rFonts w:ascii="Calibri" w:hAnsi="Calibri"/>
        <w:b/>
        <w:bCs/>
        <w:sz w:val="18"/>
      </w:rPr>
      <w:fldChar w:fldCharType="end"/>
    </w:r>
    <w:r w:rsidRPr="007766DC">
      <w:rPr>
        <w:rFonts w:ascii="Calibri" w:hAnsi="Calibri"/>
        <w:sz w:val="18"/>
      </w:rPr>
      <w:t xml:space="preserve"> of </w:t>
    </w:r>
    <w:r w:rsidR="002B1BA0" w:rsidRPr="007766DC">
      <w:rPr>
        <w:rFonts w:ascii="Calibri" w:hAnsi="Calibri"/>
        <w:b/>
        <w:bCs/>
        <w:sz w:val="18"/>
      </w:rPr>
      <w:fldChar w:fldCharType="begin"/>
    </w:r>
    <w:r w:rsidRPr="007766DC">
      <w:rPr>
        <w:rFonts w:ascii="Calibri" w:hAnsi="Calibri"/>
        <w:b/>
        <w:bCs/>
        <w:sz w:val="18"/>
      </w:rPr>
      <w:instrText xml:space="preserve"> NUMPAGES  </w:instrText>
    </w:r>
    <w:r w:rsidR="002B1BA0" w:rsidRPr="007766DC">
      <w:rPr>
        <w:rFonts w:ascii="Calibri" w:hAnsi="Calibri"/>
        <w:b/>
        <w:bCs/>
        <w:sz w:val="18"/>
      </w:rPr>
      <w:fldChar w:fldCharType="separate"/>
    </w:r>
    <w:r w:rsidR="00C00BD2">
      <w:rPr>
        <w:rFonts w:ascii="Calibri" w:hAnsi="Calibri"/>
        <w:b/>
        <w:bCs/>
        <w:noProof/>
        <w:sz w:val="18"/>
      </w:rPr>
      <w:t>6</w:t>
    </w:r>
    <w:r w:rsidR="002B1BA0" w:rsidRPr="007766DC">
      <w:rPr>
        <w:rFonts w:ascii="Calibri" w:hAnsi="Calibri"/>
        <w:b/>
        <w:bCs/>
        <w:sz w:val="18"/>
      </w:rPr>
      <w:fldChar w:fldCharType="end"/>
    </w:r>
  </w:p>
  <w:p w:rsidR="00A21879" w:rsidRPr="00B7018D" w:rsidRDefault="00A21879">
    <w:pPr>
      <w:pStyle w:val="Footer"/>
      <w:rPr>
        <w:rFonts w:ascii="Calibri" w:hAnsi="Calibr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F5" w:rsidRDefault="00BF13F5" w:rsidP="0030159E">
      <w:r>
        <w:separator/>
      </w:r>
    </w:p>
  </w:footnote>
  <w:footnote w:type="continuationSeparator" w:id="0">
    <w:p w:rsidR="00BF13F5" w:rsidRDefault="00BF13F5" w:rsidP="00301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79" w:rsidRPr="006B5783" w:rsidRDefault="006A6499" w:rsidP="006A6499">
    <w:pPr>
      <w:pStyle w:val="Header"/>
      <w:rPr>
        <w:rFonts w:asciiTheme="minorHAnsi" w:hAnsiTheme="minorHAnsi" w:cs="Arial"/>
        <w:sz w:val="20"/>
        <w:szCs w:val="20"/>
      </w:rPr>
    </w:pPr>
    <w:r>
      <w:rPr>
        <w:rFonts w:ascii="Calibri" w:hAnsi="Calibri"/>
        <w:b/>
        <w:sz w:val="20"/>
        <w:szCs w:val="20"/>
      </w:rPr>
      <w:t xml:space="preserve">                       </w:t>
    </w:r>
    <w:r w:rsidRPr="003C5F18">
      <w:rPr>
        <w:rFonts w:ascii="Calibri" w:hAnsi="Calibri"/>
        <w:b/>
        <w:sz w:val="20"/>
        <w:szCs w:val="20"/>
      </w:rPr>
      <w:t>Safeguarding Officer</w:t>
    </w:r>
    <w:hyperlink r:id="rId1" w:history="1">
      <w:r w:rsidR="00773073">
        <w:rPr>
          <w:rStyle w:val="Hyperlink"/>
          <w:rFonts w:ascii="Calibri" w:hAnsi="Calibri"/>
          <w:sz w:val="20"/>
          <w:szCs w:val="20"/>
        </w:rPr>
        <w:t>safeguarding@</w:t>
      </w:r>
    </w:hyperlink>
    <w:hyperlink r:id="rId2" w:history="1">
      <w:r w:rsidR="00773073">
        <w:rPr>
          <w:rStyle w:val="Hyperlink"/>
          <w:rFonts w:ascii="Calibri" w:eastAsia="Calibri" w:hAnsi="Calibri"/>
          <w:sz w:val="20"/>
          <w:szCs w:val="20"/>
        </w:rPr>
        <w:t>disabilityshooting-gb.org</w:t>
      </w:r>
    </w:hyperlink>
    <w:r w:rsidR="00773073">
      <w:rPr>
        <w:rFonts w:ascii="Calibri" w:eastAsia="Calibri" w:hAnsi="Calibri"/>
        <w:color w:val="061F9C"/>
        <w:sz w:val="20"/>
        <w:szCs w:val="20"/>
      </w:rPr>
      <w:t xml:space="preserve">                                       </w:t>
    </w:r>
    <w:r w:rsidR="007766DC" w:rsidRPr="006B5783">
      <w:rPr>
        <w:rFonts w:asciiTheme="minorHAnsi" w:hAnsiTheme="minorHAnsi" w:cs="Arial"/>
        <w:sz w:val="20"/>
        <w:szCs w:val="20"/>
      </w:rPr>
      <w:t>Policy Document #33</w:t>
    </w:r>
  </w:p>
  <w:p w:rsidR="004C2BEE" w:rsidRPr="006B5783" w:rsidRDefault="004C2BEE" w:rsidP="007766DC">
    <w:pPr>
      <w:rPr>
        <w:rFonts w:asciiTheme="minorHAnsi" w:hAnsiTheme="minorHAnsi" w:cs="Arial"/>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22C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401CC"/>
    <w:multiLevelType w:val="multilevel"/>
    <w:tmpl w:val="D0E0C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3064C4"/>
    <w:multiLevelType w:val="hybridMultilevel"/>
    <w:tmpl w:val="E75091C0"/>
    <w:lvl w:ilvl="0" w:tplc="58A65B2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2BC3"/>
    <w:multiLevelType w:val="hybridMultilevel"/>
    <w:tmpl w:val="FD34380A"/>
    <w:lvl w:ilvl="0" w:tplc="24EE3F2C">
      <w:start w:val="1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5863D1"/>
    <w:multiLevelType w:val="hybridMultilevel"/>
    <w:tmpl w:val="65C24A34"/>
    <w:lvl w:ilvl="0" w:tplc="08090001">
      <w:start w:val="1"/>
      <w:numFmt w:val="bullet"/>
      <w:lvlText w:val=""/>
      <w:lvlJc w:val="left"/>
      <w:pPr>
        <w:ind w:left="360" w:hanging="360"/>
      </w:pPr>
      <w:rPr>
        <w:rFonts w:ascii="Symbol" w:hAnsi="Symbol" w:hint="default"/>
      </w:rPr>
    </w:lvl>
    <w:lvl w:ilvl="1" w:tplc="01601540">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8F6E48"/>
    <w:multiLevelType w:val="hybridMultilevel"/>
    <w:tmpl w:val="411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7E49D2"/>
    <w:multiLevelType w:val="hybridMultilevel"/>
    <w:tmpl w:val="80E670B0"/>
    <w:lvl w:ilvl="0" w:tplc="58A65B22">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067165"/>
    <w:multiLevelType w:val="hybridMultilevel"/>
    <w:tmpl w:val="ED48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5F5C74"/>
    <w:multiLevelType w:val="hybridMultilevel"/>
    <w:tmpl w:val="306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832D5"/>
    <w:multiLevelType w:val="multilevel"/>
    <w:tmpl w:val="192294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16E3361"/>
    <w:multiLevelType w:val="hybridMultilevel"/>
    <w:tmpl w:val="6B82E306"/>
    <w:lvl w:ilvl="0" w:tplc="A2A0475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D04AE"/>
    <w:multiLevelType w:val="hybridMultilevel"/>
    <w:tmpl w:val="7EA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6E2DA4"/>
    <w:multiLevelType w:val="hybridMultilevel"/>
    <w:tmpl w:val="91E0BC16"/>
    <w:lvl w:ilvl="0" w:tplc="58A65B22">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EC50C4"/>
    <w:multiLevelType w:val="hybridMultilevel"/>
    <w:tmpl w:val="40C2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3"/>
  </w:num>
  <w:num w:numId="5">
    <w:abstractNumId w:val="7"/>
  </w:num>
  <w:num w:numId="6">
    <w:abstractNumId w:val="4"/>
  </w:num>
  <w:num w:numId="7">
    <w:abstractNumId w:val="12"/>
  </w:num>
  <w:num w:numId="8">
    <w:abstractNumId w:val="8"/>
  </w:num>
  <w:num w:numId="9">
    <w:abstractNumId w:val="0"/>
  </w:num>
  <w:num w:numId="10">
    <w:abstractNumId w:val="11"/>
  </w:num>
  <w:num w:numId="11">
    <w:abstractNumId w:val="5"/>
  </w:num>
  <w:num w:numId="12">
    <w:abstractNumId w:val="2"/>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5moUE4MMwFmeq0mNHC66ByPattM=" w:salt="+WeuY9SbLvSk2/l95u4YUA=="/>
  <w:defaultTabStop w:val="720"/>
  <w:noPunctuationKerning/>
  <w:characterSpacingControl w:val="doNotCompress"/>
  <w:hdrShapeDefaults>
    <o:shapedefaults v:ext="edit" spidmax="46082" fill="f" fillcolor="white" stroke="f">
      <v:fill color="white" on="f"/>
      <v:stroke on="f"/>
      <v:textbox style="mso-rotate-with-shape:t"/>
    </o:shapedefaults>
  </w:hdrShapeDefaults>
  <w:footnotePr>
    <w:footnote w:id="-1"/>
    <w:footnote w:id="0"/>
  </w:footnotePr>
  <w:endnotePr>
    <w:endnote w:id="-1"/>
    <w:endnote w:id="0"/>
  </w:endnotePr>
  <w:compat/>
  <w:rsids>
    <w:rsidRoot w:val="001A6726"/>
    <w:rsid w:val="00020B7B"/>
    <w:rsid w:val="00046192"/>
    <w:rsid w:val="00047295"/>
    <w:rsid w:val="00054FF1"/>
    <w:rsid w:val="00074A4E"/>
    <w:rsid w:val="00076CAD"/>
    <w:rsid w:val="000A190C"/>
    <w:rsid w:val="000D413B"/>
    <w:rsid w:val="000F7875"/>
    <w:rsid w:val="00105971"/>
    <w:rsid w:val="001261A2"/>
    <w:rsid w:val="00127C96"/>
    <w:rsid w:val="00146ABA"/>
    <w:rsid w:val="00157150"/>
    <w:rsid w:val="00174A1F"/>
    <w:rsid w:val="00192780"/>
    <w:rsid w:val="001A6726"/>
    <w:rsid w:val="001B5677"/>
    <w:rsid w:val="001D6E84"/>
    <w:rsid w:val="001E205D"/>
    <w:rsid w:val="001E7F89"/>
    <w:rsid w:val="00201D51"/>
    <w:rsid w:val="002410EF"/>
    <w:rsid w:val="00262B41"/>
    <w:rsid w:val="0027216F"/>
    <w:rsid w:val="0027312E"/>
    <w:rsid w:val="002734CC"/>
    <w:rsid w:val="00282098"/>
    <w:rsid w:val="00286F74"/>
    <w:rsid w:val="002954E0"/>
    <w:rsid w:val="002B1BA0"/>
    <w:rsid w:val="002B5673"/>
    <w:rsid w:val="002B59DD"/>
    <w:rsid w:val="002C6BB4"/>
    <w:rsid w:val="002D4F1F"/>
    <w:rsid w:val="0030159E"/>
    <w:rsid w:val="00307159"/>
    <w:rsid w:val="00352901"/>
    <w:rsid w:val="003564F7"/>
    <w:rsid w:val="0037530C"/>
    <w:rsid w:val="003913E0"/>
    <w:rsid w:val="00397CE5"/>
    <w:rsid w:val="003A097E"/>
    <w:rsid w:val="003E7270"/>
    <w:rsid w:val="00407106"/>
    <w:rsid w:val="00440437"/>
    <w:rsid w:val="00481DD7"/>
    <w:rsid w:val="00493A6E"/>
    <w:rsid w:val="00494815"/>
    <w:rsid w:val="004C2BEE"/>
    <w:rsid w:val="004D5A9C"/>
    <w:rsid w:val="0052583C"/>
    <w:rsid w:val="00541F01"/>
    <w:rsid w:val="00545E4C"/>
    <w:rsid w:val="00566216"/>
    <w:rsid w:val="005853FF"/>
    <w:rsid w:val="00585982"/>
    <w:rsid w:val="005A11DB"/>
    <w:rsid w:val="005A27A1"/>
    <w:rsid w:val="005C1B3D"/>
    <w:rsid w:val="005D068E"/>
    <w:rsid w:val="005E19CC"/>
    <w:rsid w:val="005F06B8"/>
    <w:rsid w:val="0060636E"/>
    <w:rsid w:val="00620EC7"/>
    <w:rsid w:val="0062698D"/>
    <w:rsid w:val="00626F1F"/>
    <w:rsid w:val="006352E0"/>
    <w:rsid w:val="00652E70"/>
    <w:rsid w:val="006621A6"/>
    <w:rsid w:val="006737B9"/>
    <w:rsid w:val="00674A4B"/>
    <w:rsid w:val="006A6499"/>
    <w:rsid w:val="006B5783"/>
    <w:rsid w:val="006C349E"/>
    <w:rsid w:val="006D5B66"/>
    <w:rsid w:val="006E5C28"/>
    <w:rsid w:val="006F2513"/>
    <w:rsid w:val="00726E99"/>
    <w:rsid w:val="007576C7"/>
    <w:rsid w:val="00760CD6"/>
    <w:rsid w:val="0076300F"/>
    <w:rsid w:val="00773073"/>
    <w:rsid w:val="0077447C"/>
    <w:rsid w:val="007766DC"/>
    <w:rsid w:val="007831D2"/>
    <w:rsid w:val="00784B5C"/>
    <w:rsid w:val="00790749"/>
    <w:rsid w:val="00793DFF"/>
    <w:rsid w:val="0079688C"/>
    <w:rsid w:val="007D69B1"/>
    <w:rsid w:val="007E0D17"/>
    <w:rsid w:val="007E2B66"/>
    <w:rsid w:val="00811B89"/>
    <w:rsid w:val="00821EE7"/>
    <w:rsid w:val="00846ED9"/>
    <w:rsid w:val="008526CD"/>
    <w:rsid w:val="00865466"/>
    <w:rsid w:val="00871652"/>
    <w:rsid w:val="00871B48"/>
    <w:rsid w:val="0087272F"/>
    <w:rsid w:val="00875335"/>
    <w:rsid w:val="0087715E"/>
    <w:rsid w:val="00891760"/>
    <w:rsid w:val="008C1082"/>
    <w:rsid w:val="008C42B5"/>
    <w:rsid w:val="008D1FA6"/>
    <w:rsid w:val="008D392E"/>
    <w:rsid w:val="008F3805"/>
    <w:rsid w:val="008F7F37"/>
    <w:rsid w:val="00904BBC"/>
    <w:rsid w:val="00910233"/>
    <w:rsid w:val="00967886"/>
    <w:rsid w:val="009678AC"/>
    <w:rsid w:val="009818AD"/>
    <w:rsid w:val="00985E1D"/>
    <w:rsid w:val="00993D8F"/>
    <w:rsid w:val="009B13E4"/>
    <w:rsid w:val="009B33C1"/>
    <w:rsid w:val="009C2E63"/>
    <w:rsid w:val="009C76A5"/>
    <w:rsid w:val="009D07CE"/>
    <w:rsid w:val="009F5221"/>
    <w:rsid w:val="00A21879"/>
    <w:rsid w:val="00A32389"/>
    <w:rsid w:val="00A43FEE"/>
    <w:rsid w:val="00A60659"/>
    <w:rsid w:val="00A65FF5"/>
    <w:rsid w:val="00A72824"/>
    <w:rsid w:val="00A83FEA"/>
    <w:rsid w:val="00A93FD2"/>
    <w:rsid w:val="00AB5FDC"/>
    <w:rsid w:val="00AC04F0"/>
    <w:rsid w:val="00AD716A"/>
    <w:rsid w:val="00AE00BA"/>
    <w:rsid w:val="00AE22C1"/>
    <w:rsid w:val="00AE2347"/>
    <w:rsid w:val="00AF37D7"/>
    <w:rsid w:val="00AF7274"/>
    <w:rsid w:val="00B20673"/>
    <w:rsid w:val="00B2188F"/>
    <w:rsid w:val="00B34BC1"/>
    <w:rsid w:val="00B428F9"/>
    <w:rsid w:val="00B433CD"/>
    <w:rsid w:val="00B62DD6"/>
    <w:rsid w:val="00B66C74"/>
    <w:rsid w:val="00B7018D"/>
    <w:rsid w:val="00B86F10"/>
    <w:rsid w:val="00BA7B34"/>
    <w:rsid w:val="00BC092B"/>
    <w:rsid w:val="00BC5938"/>
    <w:rsid w:val="00BF0F71"/>
    <w:rsid w:val="00BF13F5"/>
    <w:rsid w:val="00BF4673"/>
    <w:rsid w:val="00BF5F1C"/>
    <w:rsid w:val="00BF7D40"/>
    <w:rsid w:val="00C00BD2"/>
    <w:rsid w:val="00C00DEF"/>
    <w:rsid w:val="00C04FF9"/>
    <w:rsid w:val="00C4245F"/>
    <w:rsid w:val="00C8600B"/>
    <w:rsid w:val="00C93061"/>
    <w:rsid w:val="00C979FA"/>
    <w:rsid w:val="00CA38D8"/>
    <w:rsid w:val="00CC7D3F"/>
    <w:rsid w:val="00CD097C"/>
    <w:rsid w:val="00CE2DED"/>
    <w:rsid w:val="00CE769C"/>
    <w:rsid w:val="00CF0E23"/>
    <w:rsid w:val="00D036F8"/>
    <w:rsid w:val="00D2571A"/>
    <w:rsid w:val="00D32183"/>
    <w:rsid w:val="00D40E34"/>
    <w:rsid w:val="00D976F6"/>
    <w:rsid w:val="00DA58BE"/>
    <w:rsid w:val="00DC49AC"/>
    <w:rsid w:val="00DD5452"/>
    <w:rsid w:val="00DD7D57"/>
    <w:rsid w:val="00E17766"/>
    <w:rsid w:val="00E2209C"/>
    <w:rsid w:val="00E26744"/>
    <w:rsid w:val="00E65BE5"/>
    <w:rsid w:val="00E72F17"/>
    <w:rsid w:val="00E76A9F"/>
    <w:rsid w:val="00E86E0A"/>
    <w:rsid w:val="00E8777A"/>
    <w:rsid w:val="00EA36A2"/>
    <w:rsid w:val="00EC5AEB"/>
    <w:rsid w:val="00ED529B"/>
    <w:rsid w:val="00EE0A7E"/>
    <w:rsid w:val="00F04206"/>
    <w:rsid w:val="00F07F9A"/>
    <w:rsid w:val="00F10943"/>
    <w:rsid w:val="00F13D37"/>
    <w:rsid w:val="00F14555"/>
    <w:rsid w:val="00F3001C"/>
    <w:rsid w:val="00F314D4"/>
    <w:rsid w:val="00F44504"/>
    <w:rsid w:val="00F44538"/>
    <w:rsid w:val="00F57355"/>
    <w:rsid w:val="00F71F77"/>
    <w:rsid w:val="00F74765"/>
    <w:rsid w:val="00F83D86"/>
    <w:rsid w:val="00F844D4"/>
    <w:rsid w:val="00F9687B"/>
    <w:rsid w:val="00FA68DC"/>
    <w:rsid w:val="00FA7B74"/>
    <w:rsid w:val="00FB112F"/>
    <w:rsid w:val="00FB2B4F"/>
    <w:rsid w:val="00FC5E5A"/>
    <w:rsid w:val="00FD0255"/>
    <w:rsid w:val="00FD4849"/>
    <w:rsid w:val="00FF2A13"/>
    <w:rsid w:val="00FF339E"/>
    <w:rsid w:val="00FF4F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BBC"/>
    <w:pPr>
      <w:tabs>
        <w:tab w:val="center" w:pos="4153"/>
        <w:tab w:val="right" w:pos="8306"/>
      </w:tabs>
    </w:pPr>
  </w:style>
  <w:style w:type="paragraph" w:styleId="Footer">
    <w:name w:val="footer"/>
    <w:basedOn w:val="Normal"/>
    <w:link w:val="FooterChar"/>
    <w:uiPriority w:val="99"/>
    <w:rsid w:val="00904BBC"/>
    <w:pPr>
      <w:tabs>
        <w:tab w:val="center" w:pos="4153"/>
        <w:tab w:val="right" w:pos="8306"/>
      </w:tabs>
    </w:pPr>
  </w:style>
  <w:style w:type="character" w:styleId="Hyperlink">
    <w:name w:val="Hyperlink"/>
    <w:rsid w:val="00CA38D8"/>
    <w:rPr>
      <w:color w:val="0000FF"/>
      <w:u w:val="single"/>
    </w:rPr>
  </w:style>
  <w:style w:type="character" w:customStyle="1" w:styleId="formw2">
    <w:name w:val="formw2"/>
    <w:rsid w:val="00174A1F"/>
    <w:rPr>
      <w:shd w:val="clear" w:color="auto" w:fill="auto"/>
    </w:rPr>
  </w:style>
  <w:style w:type="character" w:styleId="PageNumber">
    <w:name w:val="page number"/>
    <w:basedOn w:val="DefaultParagraphFont"/>
    <w:rsid w:val="00E76A9F"/>
  </w:style>
  <w:style w:type="paragraph" w:styleId="Title">
    <w:name w:val="Title"/>
    <w:basedOn w:val="Normal"/>
    <w:qFormat/>
    <w:rsid w:val="00A21879"/>
    <w:pPr>
      <w:jc w:val="center"/>
    </w:pPr>
    <w:rPr>
      <w:rFonts w:ascii="Arial" w:hAnsi="Arial" w:cs="Arial"/>
      <w:b/>
      <w:sz w:val="22"/>
      <w:szCs w:val="22"/>
      <w:u w:val="single"/>
    </w:rPr>
  </w:style>
  <w:style w:type="paragraph" w:customStyle="1" w:styleId="MediumGrid1-Accent21">
    <w:name w:val="Medium Grid 1 - Accent 21"/>
    <w:basedOn w:val="Normal"/>
    <w:qFormat/>
    <w:rsid w:val="00A21879"/>
    <w:pPr>
      <w:ind w:left="720"/>
    </w:pPr>
  </w:style>
  <w:style w:type="paragraph" w:customStyle="1" w:styleId="DCF1">
    <w:name w:val="DCF1"/>
    <w:basedOn w:val="MediumGrid21"/>
    <w:qFormat/>
    <w:rsid w:val="00626F1F"/>
    <w:rPr>
      <w:rFonts w:ascii="Arial" w:eastAsia="Calibri" w:hAnsi="Arial" w:cs="Arial"/>
      <w:sz w:val="22"/>
      <w:szCs w:val="22"/>
    </w:rPr>
  </w:style>
  <w:style w:type="paragraph" w:customStyle="1" w:styleId="MediumGrid21">
    <w:name w:val="Medium Grid 21"/>
    <w:uiPriority w:val="1"/>
    <w:qFormat/>
    <w:rsid w:val="00626F1F"/>
    <w:rPr>
      <w:sz w:val="24"/>
      <w:szCs w:val="24"/>
      <w:lang w:eastAsia="en-US"/>
    </w:rPr>
  </w:style>
  <w:style w:type="character" w:styleId="CommentReference">
    <w:name w:val="annotation reference"/>
    <w:uiPriority w:val="99"/>
    <w:semiHidden/>
    <w:unhideWhenUsed/>
    <w:rsid w:val="00FA7B74"/>
    <w:rPr>
      <w:sz w:val="16"/>
      <w:szCs w:val="16"/>
    </w:rPr>
  </w:style>
  <w:style w:type="paragraph" w:styleId="CommentText">
    <w:name w:val="annotation text"/>
    <w:basedOn w:val="Normal"/>
    <w:link w:val="CommentTextChar"/>
    <w:uiPriority w:val="99"/>
    <w:semiHidden/>
    <w:unhideWhenUsed/>
    <w:rsid w:val="00FA7B74"/>
    <w:rPr>
      <w:sz w:val="20"/>
      <w:szCs w:val="20"/>
    </w:rPr>
  </w:style>
  <w:style w:type="character" w:customStyle="1" w:styleId="CommentTextChar">
    <w:name w:val="Comment Text Char"/>
    <w:link w:val="CommentText"/>
    <w:uiPriority w:val="99"/>
    <w:semiHidden/>
    <w:rsid w:val="00FA7B74"/>
    <w:rPr>
      <w:lang w:eastAsia="en-US"/>
    </w:rPr>
  </w:style>
  <w:style w:type="paragraph" w:styleId="CommentSubject">
    <w:name w:val="annotation subject"/>
    <w:basedOn w:val="CommentText"/>
    <w:next w:val="CommentText"/>
    <w:link w:val="CommentSubjectChar"/>
    <w:uiPriority w:val="99"/>
    <w:semiHidden/>
    <w:unhideWhenUsed/>
    <w:rsid w:val="00FA7B74"/>
    <w:rPr>
      <w:b/>
      <w:bCs/>
    </w:rPr>
  </w:style>
  <w:style w:type="character" w:customStyle="1" w:styleId="CommentSubjectChar">
    <w:name w:val="Comment Subject Char"/>
    <w:link w:val="CommentSubject"/>
    <w:uiPriority w:val="99"/>
    <w:semiHidden/>
    <w:rsid w:val="00FA7B74"/>
    <w:rPr>
      <w:b/>
      <w:bCs/>
      <w:lang w:eastAsia="en-US"/>
    </w:rPr>
  </w:style>
  <w:style w:type="paragraph" w:styleId="BalloonText">
    <w:name w:val="Balloon Text"/>
    <w:basedOn w:val="Normal"/>
    <w:link w:val="BalloonTextChar"/>
    <w:uiPriority w:val="99"/>
    <w:semiHidden/>
    <w:unhideWhenUsed/>
    <w:rsid w:val="00FA7B74"/>
    <w:rPr>
      <w:rFonts w:ascii="Segoe UI" w:hAnsi="Segoe UI"/>
      <w:sz w:val="18"/>
      <w:szCs w:val="18"/>
    </w:rPr>
  </w:style>
  <w:style w:type="character" w:customStyle="1" w:styleId="BalloonTextChar">
    <w:name w:val="Balloon Text Char"/>
    <w:link w:val="BalloonText"/>
    <w:uiPriority w:val="99"/>
    <w:semiHidden/>
    <w:rsid w:val="00FA7B74"/>
    <w:rPr>
      <w:rFonts w:ascii="Segoe UI" w:hAnsi="Segoe UI" w:cs="Segoe UI"/>
      <w:sz w:val="18"/>
      <w:szCs w:val="18"/>
      <w:lang w:eastAsia="en-US"/>
    </w:rPr>
  </w:style>
  <w:style w:type="paragraph" w:customStyle="1" w:styleId="ColorfulList-Accent11">
    <w:name w:val="Colorful List - Accent 11"/>
    <w:basedOn w:val="Normal"/>
    <w:uiPriority w:val="34"/>
    <w:qFormat/>
    <w:rsid w:val="00F57355"/>
    <w:pPr>
      <w:ind w:left="720"/>
    </w:pPr>
  </w:style>
  <w:style w:type="character" w:customStyle="1" w:styleId="FooterChar">
    <w:name w:val="Footer Char"/>
    <w:link w:val="Footer"/>
    <w:uiPriority w:val="99"/>
    <w:rsid w:val="007766DC"/>
    <w:rPr>
      <w:sz w:val="24"/>
      <w:szCs w:val="24"/>
      <w:lang w:eastAsia="en-US"/>
    </w:rPr>
  </w:style>
  <w:style w:type="paragraph" w:styleId="NoSpacing">
    <w:name w:val="No Spacing"/>
    <w:uiPriority w:val="1"/>
    <w:qFormat/>
    <w:rsid w:val="00891760"/>
    <w:rPr>
      <w:sz w:val="24"/>
      <w:szCs w:val="24"/>
      <w:lang w:eastAsia="en-US"/>
    </w:rPr>
  </w:style>
  <w:style w:type="character" w:customStyle="1" w:styleId="HeaderChar">
    <w:name w:val="Header Char"/>
    <w:basedOn w:val="DefaultParagraphFont"/>
    <w:link w:val="Header"/>
    <w:uiPriority w:val="99"/>
    <w:rsid w:val="006A6499"/>
    <w:rPr>
      <w:sz w:val="24"/>
      <w:szCs w:val="24"/>
      <w:lang w:eastAsia="en-US"/>
    </w:rPr>
  </w:style>
  <w:style w:type="paragraph" w:styleId="ListParagraph">
    <w:name w:val="List Paragraph"/>
    <w:basedOn w:val="Normal"/>
    <w:uiPriority w:val="34"/>
    <w:qFormat/>
    <w:rsid w:val="00FB11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7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4BBC"/>
    <w:pPr>
      <w:tabs>
        <w:tab w:val="center" w:pos="4153"/>
        <w:tab w:val="right" w:pos="8306"/>
      </w:tabs>
    </w:pPr>
  </w:style>
  <w:style w:type="paragraph" w:styleId="Footer">
    <w:name w:val="footer"/>
    <w:basedOn w:val="Normal"/>
    <w:link w:val="FooterChar"/>
    <w:uiPriority w:val="99"/>
    <w:rsid w:val="00904BBC"/>
    <w:pPr>
      <w:tabs>
        <w:tab w:val="center" w:pos="4153"/>
        <w:tab w:val="right" w:pos="8306"/>
      </w:tabs>
    </w:pPr>
  </w:style>
  <w:style w:type="character" w:styleId="Hyperlink">
    <w:name w:val="Hyperlink"/>
    <w:rsid w:val="00CA38D8"/>
    <w:rPr>
      <w:color w:val="0000FF"/>
      <w:u w:val="single"/>
    </w:rPr>
  </w:style>
  <w:style w:type="character" w:customStyle="1" w:styleId="formw2">
    <w:name w:val="formw2"/>
    <w:rsid w:val="00174A1F"/>
    <w:rPr>
      <w:shd w:val="clear" w:color="auto" w:fill="auto"/>
    </w:rPr>
  </w:style>
  <w:style w:type="character" w:styleId="PageNumber">
    <w:name w:val="page number"/>
    <w:basedOn w:val="DefaultParagraphFont"/>
    <w:rsid w:val="00E76A9F"/>
  </w:style>
  <w:style w:type="paragraph" w:styleId="Title">
    <w:name w:val="Title"/>
    <w:basedOn w:val="Normal"/>
    <w:qFormat/>
    <w:rsid w:val="00A21879"/>
    <w:pPr>
      <w:jc w:val="center"/>
    </w:pPr>
    <w:rPr>
      <w:rFonts w:ascii="Arial" w:hAnsi="Arial" w:cs="Arial"/>
      <w:b/>
      <w:sz w:val="22"/>
      <w:szCs w:val="22"/>
      <w:u w:val="single"/>
    </w:rPr>
  </w:style>
  <w:style w:type="paragraph" w:styleId="MediumGrid1-Accent2">
    <w:name w:val="Medium Grid 1 Accent 2"/>
    <w:basedOn w:val="Normal"/>
    <w:qFormat/>
    <w:rsid w:val="00A21879"/>
    <w:pPr>
      <w:ind w:left="720"/>
    </w:pPr>
  </w:style>
  <w:style w:type="paragraph" w:customStyle="1" w:styleId="DCF1">
    <w:name w:val="DCF1"/>
    <w:basedOn w:val="MediumGrid21"/>
    <w:qFormat/>
    <w:rsid w:val="00626F1F"/>
    <w:rPr>
      <w:rFonts w:ascii="Arial" w:eastAsia="Calibri" w:hAnsi="Arial" w:cs="Arial"/>
      <w:sz w:val="22"/>
      <w:szCs w:val="22"/>
    </w:rPr>
  </w:style>
  <w:style w:type="paragraph" w:customStyle="1" w:styleId="MediumGrid21">
    <w:name w:val="Medium Grid 21"/>
    <w:uiPriority w:val="1"/>
    <w:qFormat/>
    <w:rsid w:val="00626F1F"/>
    <w:rPr>
      <w:sz w:val="24"/>
      <w:szCs w:val="24"/>
      <w:lang w:eastAsia="en-US"/>
    </w:rPr>
  </w:style>
  <w:style w:type="character" w:styleId="CommentReference">
    <w:name w:val="annotation reference"/>
    <w:uiPriority w:val="99"/>
    <w:semiHidden/>
    <w:unhideWhenUsed/>
    <w:rsid w:val="00FA7B74"/>
    <w:rPr>
      <w:sz w:val="16"/>
      <w:szCs w:val="16"/>
    </w:rPr>
  </w:style>
  <w:style w:type="paragraph" w:styleId="CommentText">
    <w:name w:val="annotation text"/>
    <w:basedOn w:val="Normal"/>
    <w:link w:val="CommentTextChar"/>
    <w:uiPriority w:val="99"/>
    <w:semiHidden/>
    <w:unhideWhenUsed/>
    <w:rsid w:val="00FA7B74"/>
    <w:rPr>
      <w:sz w:val="20"/>
      <w:szCs w:val="20"/>
      <w:lang w:val="x-none"/>
    </w:rPr>
  </w:style>
  <w:style w:type="character" w:customStyle="1" w:styleId="CommentTextChar">
    <w:name w:val="Comment Text Char"/>
    <w:link w:val="CommentText"/>
    <w:uiPriority w:val="99"/>
    <w:semiHidden/>
    <w:rsid w:val="00FA7B74"/>
    <w:rPr>
      <w:lang w:eastAsia="en-US"/>
    </w:rPr>
  </w:style>
  <w:style w:type="paragraph" w:styleId="CommentSubject">
    <w:name w:val="annotation subject"/>
    <w:basedOn w:val="CommentText"/>
    <w:next w:val="CommentText"/>
    <w:link w:val="CommentSubjectChar"/>
    <w:uiPriority w:val="99"/>
    <w:semiHidden/>
    <w:unhideWhenUsed/>
    <w:rsid w:val="00FA7B74"/>
    <w:rPr>
      <w:b/>
      <w:bCs/>
    </w:rPr>
  </w:style>
  <w:style w:type="character" w:customStyle="1" w:styleId="CommentSubjectChar">
    <w:name w:val="Comment Subject Char"/>
    <w:link w:val="CommentSubject"/>
    <w:uiPriority w:val="99"/>
    <w:semiHidden/>
    <w:rsid w:val="00FA7B74"/>
    <w:rPr>
      <w:b/>
      <w:bCs/>
      <w:lang w:eastAsia="en-US"/>
    </w:rPr>
  </w:style>
  <w:style w:type="paragraph" w:styleId="BalloonText">
    <w:name w:val="Balloon Text"/>
    <w:basedOn w:val="Normal"/>
    <w:link w:val="BalloonTextChar"/>
    <w:uiPriority w:val="99"/>
    <w:semiHidden/>
    <w:unhideWhenUsed/>
    <w:rsid w:val="00FA7B74"/>
    <w:rPr>
      <w:rFonts w:ascii="Segoe UI" w:hAnsi="Segoe UI"/>
      <w:sz w:val="18"/>
      <w:szCs w:val="18"/>
      <w:lang w:val="x-none"/>
    </w:rPr>
  </w:style>
  <w:style w:type="character" w:customStyle="1" w:styleId="BalloonTextChar">
    <w:name w:val="Balloon Text Char"/>
    <w:link w:val="BalloonText"/>
    <w:uiPriority w:val="99"/>
    <w:semiHidden/>
    <w:rsid w:val="00FA7B74"/>
    <w:rPr>
      <w:rFonts w:ascii="Segoe UI" w:hAnsi="Segoe UI" w:cs="Segoe UI"/>
      <w:sz w:val="18"/>
      <w:szCs w:val="18"/>
      <w:lang w:eastAsia="en-US"/>
    </w:rPr>
  </w:style>
  <w:style w:type="paragraph" w:styleId="ColorfulList-Accent1">
    <w:name w:val="Colorful List Accent 1"/>
    <w:basedOn w:val="Normal"/>
    <w:uiPriority w:val="34"/>
    <w:qFormat/>
    <w:rsid w:val="00F57355"/>
    <w:pPr>
      <w:ind w:left="720"/>
    </w:pPr>
  </w:style>
  <w:style w:type="character" w:customStyle="1" w:styleId="FooterChar">
    <w:name w:val="Footer Char"/>
    <w:link w:val="Footer"/>
    <w:uiPriority w:val="99"/>
    <w:rsid w:val="007766DC"/>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840729248">
      <w:bodyDiv w:val="1"/>
      <w:marLeft w:val="0"/>
      <w:marRight w:val="0"/>
      <w:marTop w:val="0"/>
      <w:marBottom w:val="0"/>
      <w:divBdr>
        <w:top w:val="none" w:sz="0" w:space="0" w:color="auto"/>
        <w:left w:val="none" w:sz="0" w:space="0" w:color="auto"/>
        <w:bottom w:val="none" w:sz="0" w:space="0" w:color="auto"/>
        <w:right w:val="none" w:sz="0" w:space="0" w:color="auto"/>
      </w:divBdr>
      <w:divsChild>
        <w:div w:id="173497997">
          <w:marLeft w:val="0"/>
          <w:marRight w:val="0"/>
          <w:marTop w:val="0"/>
          <w:marBottom w:val="0"/>
          <w:divBdr>
            <w:top w:val="none" w:sz="0" w:space="0" w:color="auto"/>
            <w:left w:val="none" w:sz="0" w:space="0" w:color="auto"/>
            <w:bottom w:val="none" w:sz="0" w:space="0" w:color="auto"/>
            <w:right w:val="none" w:sz="0" w:space="0" w:color="auto"/>
          </w:divBdr>
        </w:div>
        <w:div w:id="285626256">
          <w:marLeft w:val="0"/>
          <w:marRight w:val="0"/>
          <w:marTop w:val="0"/>
          <w:marBottom w:val="0"/>
          <w:divBdr>
            <w:top w:val="none" w:sz="0" w:space="0" w:color="auto"/>
            <w:left w:val="none" w:sz="0" w:space="0" w:color="auto"/>
            <w:bottom w:val="none" w:sz="0" w:space="0" w:color="auto"/>
            <w:right w:val="none" w:sz="0" w:space="0" w:color="auto"/>
          </w:divBdr>
        </w:div>
        <w:div w:id="995185688">
          <w:marLeft w:val="0"/>
          <w:marRight w:val="0"/>
          <w:marTop w:val="0"/>
          <w:marBottom w:val="0"/>
          <w:divBdr>
            <w:top w:val="none" w:sz="0" w:space="0" w:color="auto"/>
            <w:left w:val="none" w:sz="0" w:space="0" w:color="auto"/>
            <w:bottom w:val="none" w:sz="0" w:space="0" w:color="auto"/>
            <w:right w:val="none" w:sz="0" w:space="0" w:color="auto"/>
          </w:divBdr>
        </w:div>
        <w:div w:id="1130900428">
          <w:marLeft w:val="0"/>
          <w:marRight w:val="0"/>
          <w:marTop w:val="0"/>
          <w:marBottom w:val="0"/>
          <w:divBdr>
            <w:top w:val="none" w:sz="0" w:space="0" w:color="auto"/>
            <w:left w:val="none" w:sz="0" w:space="0" w:color="auto"/>
            <w:bottom w:val="none" w:sz="0" w:space="0" w:color="auto"/>
            <w:right w:val="none" w:sz="0" w:space="0" w:color="auto"/>
          </w:divBdr>
        </w:div>
        <w:div w:id="1142424126">
          <w:marLeft w:val="0"/>
          <w:marRight w:val="0"/>
          <w:marTop w:val="0"/>
          <w:marBottom w:val="0"/>
          <w:divBdr>
            <w:top w:val="none" w:sz="0" w:space="0" w:color="auto"/>
            <w:left w:val="none" w:sz="0" w:space="0" w:color="auto"/>
            <w:bottom w:val="none" w:sz="0" w:space="0" w:color="auto"/>
            <w:right w:val="none" w:sz="0" w:space="0" w:color="auto"/>
          </w:divBdr>
        </w:div>
        <w:div w:id="1171918210">
          <w:marLeft w:val="0"/>
          <w:marRight w:val="0"/>
          <w:marTop w:val="0"/>
          <w:marBottom w:val="0"/>
          <w:divBdr>
            <w:top w:val="none" w:sz="0" w:space="0" w:color="auto"/>
            <w:left w:val="none" w:sz="0" w:space="0" w:color="auto"/>
            <w:bottom w:val="none" w:sz="0" w:space="0" w:color="auto"/>
            <w:right w:val="none" w:sz="0" w:space="0" w:color="auto"/>
          </w:divBdr>
        </w:div>
        <w:div w:id="1192298705">
          <w:marLeft w:val="0"/>
          <w:marRight w:val="0"/>
          <w:marTop w:val="0"/>
          <w:marBottom w:val="0"/>
          <w:divBdr>
            <w:top w:val="none" w:sz="0" w:space="0" w:color="auto"/>
            <w:left w:val="none" w:sz="0" w:space="0" w:color="auto"/>
            <w:bottom w:val="none" w:sz="0" w:space="0" w:color="auto"/>
            <w:right w:val="none" w:sz="0" w:space="0" w:color="auto"/>
          </w:divBdr>
        </w:div>
        <w:div w:id="1253203764">
          <w:marLeft w:val="0"/>
          <w:marRight w:val="0"/>
          <w:marTop w:val="0"/>
          <w:marBottom w:val="0"/>
          <w:divBdr>
            <w:top w:val="none" w:sz="0" w:space="0" w:color="auto"/>
            <w:left w:val="none" w:sz="0" w:space="0" w:color="auto"/>
            <w:bottom w:val="none" w:sz="0" w:space="0" w:color="auto"/>
            <w:right w:val="none" w:sz="0" w:space="0" w:color="auto"/>
          </w:divBdr>
        </w:div>
        <w:div w:id="1774671089">
          <w:marLeft w:val="0"/>
          <w:marRight w:val="0"/>
          <w:marTop w:val="0"/>
          <w:marBottom w:val="0"/>
          <w:divBdr>
            <w:top w:val="none" w:sz="0" w:space="0" w:color="auto"/>
            <w:left w:val="none" w:sz="0" w:space="0" w:color="auto"/>
            <w:bottom w:val="none" w:sz="0" w:space="0" w:color="auto"/>
            <w:right w:val="none" w:sz="0" w:space="0" w:color="auto"/>
          </w:divBdr>
        </w:div>
        <w:div w:id="2018652487">
          <w:marLeft w:val="0"/>
          <w:marRight w:val="0"/>
          <w:marTop w:val="0"/>
          <w:marBottom w:val="0"/>
          <w:divBdr>
            <w:top w:val="none" w:sz="0" w:space="0" w:color="auto"/>
            <w:left w:val="none" w:sz="0" w:space="0" w:color="auto"/>
            <w:bottom w:val="none" w:sz="0" w:space="0" w:color="auto"/>
            <w:right w:val="none" w:sz="0" w:space="0" w:color="auto"/>
          </w:divBdr>
        </w:div>
      </w:divsChild>
    </w:div>
    <w:div w:id="1904295620">
      <w:bodyDiv w:val="1"/>
      <w:marLeft w:val="0"/>
      <w:marRight w:val="0"/>
      <w:marTop w:val="0"/>
      <w:marBottom w:val="0"/>
      <w:divBdr>
        <w:top w:val="none" w:sz="0" w:space="0" w:color="auto"/>
        <w:left w:val="none" w:sz="0" w:space="0" w:color="auto"/>
        <w:bottom w:val="none" w:sz="0" w:space="0" w:color="auto"/>
        <w:right w:val="none" w:sz="0" w:space="0" w:color="auto"/>
      </w:divBdr>
      <w:divsChild>
        <w:div w:id="1118066360">
          <w:marLeft w:val="0"/>
          <w:marRight w:val="0"/>
          <w:marTop w:val="0"/>
          <w:marBottom w:val="0"/>
          <w:divBdr>
            <w:top w:val="none" w:sz="0" w:space="0" w:color="auto"/>
            <w:left w:val="none" w:sz="0" w:space="0" w:color="auto"/>
            <w:bottom w:val="none" w:sz="0" w:space="0" w:color="auto"/>
            <w:right w:val="none" w:sz="0" w:space="0" w:color="auto"/>
          </w:divBdr>
          <w:divsChild>
            <w:div w:id="10277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hooting-g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disabilityshooting-gb.org" TargetMode="External"/><Relationship Id="rId1" Type="http://schemas.openxmlformats.org/officeDocument/2006/relationships/hyperlink" Target="mailto:safeguarding@britishshoo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2551</Words>
  <Characters>14547</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British Shooting Equality Policy</vt:lpstr>
    </vt:vector>
  </TitlesOfParts>
  <Company/>
  <LinksUpToDate>false</LinksUpToDate>
  <CharactersWithSpaces>17064</CharactersWithSpaces>
  <SharedDoc>false</SharedDoc>
  <HLinks>
    <vt:vector size="6" baseType="variant">
      <vt:variant>
        <vt:i4>196665</vt:i4>
      </vt:variant>
      <vt:variant>
        <vt:i4>0</vt:i4>
      </vt:variant>
      <vt:variant>
        <vt:i4>0</vt:i4>
      </vt:variant>
      <vt:variant>
        <vt:i4>5</vt:i4>
      </vt:variant>
      <vt:variant>
        <vt:lpwstr>mailto:jamesmarshbrown@gmail.com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Shooting Equality Policy</dc:title>
  <dc:creator>Sarah Daly</dc:creator>
  <cp:lastModifiedBy>Sarah</cp:lastModifiedBy>
  <cp:revision>8</cp:revision>
  <cp:lastPrinted>2014-11-05T23:47:00Z</cp:lastPrinted>
  <dcterms:created xsi:type="dcterms:W3CDTF">2015-11-19T15:59:00Z</dcterms:created>
  <dcterms:modified xsi:type="dcterms:W3CDTF">2015-12-07T09:00:00Z</dcterms:modified>
</cp:coreProperties>
</file>